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368403" w14:textId="1D1B0E20" w:rsidR="00AB1711" w:rsidRDefault="00000000">
      <w:pPr>
        <w:pBdr>
          <w:top w:val="nil"/>
          <w:left w:val="nil"/>
          <w:bottom w:val="nil"/>
          <w:right w:val="nil"/>
          <w:between w:val="nil"/>
        </w:pBdr>
        <w:spacing w:before="240"/>
        <w:jc w:val="left"/>
        <w:rPr>
          <w:b w:val="0"/>
          <w:bCs w:val="0"/>
          <w:i/>
          <w:iCs/>
          <w:color w:val="000000"/>
          <w:sz w:val="20"/>
          <w:szCs w:val="20"/>
        </w:rPr>
      </w:pPr>
      <w:r>
        <w:rPr>
          <w:b w:val="0"/>
          <w:bCs w:val="0"/>
          <w:i/>
          <w:iCs/>
          <w:color w:val="000000"/>
          <w:sz w:val="20"/>
          <w:szCs w:val="20"/>
        </w:rPr>
        <w:t>Research Article</w:t>
      </w:r>
    </w:p>
    <w:p w14:paraId="3C0B036C" w14:textId="70B1E1F6" w:rsidR="00EE5DFE" w:rsidRDefault="00000000" w:rsidP="00AB1711">
      <w:pPr>
        <w:pBdr>
          <w:top w:val="nil"/>
          <w:left w:val="nil"/>
          <w:bottom w:val="nil"/>
          <w:right w:val="nil"/>
          <w:between w:val="nil"/>
        </w:pBdr>
        <w:spacing w:before="120"/>
        <w:jc w:val="left"/>
        <w:rPr>
          <w:color w:val="000000"/>
          <w:sz w:val="40"/>
          <w:szCs w:val="40"/>
        </w:rPr>
      </w:pPr>
      <w:r>
        <w:rPr>
          <w:color w:val="000000"/>
          <w:sz w:val="40"/>
          <w:szCs w:val="40"/>
        </w:rPr>
        <w:t xml:space="preserve">The Effect of Operating Cash Flow, Leverage, Profitability, and Liquidity on Corporate Income Tax in Consumer Non-Cyclical on the Indonesia Stock Exchange in 2021–2024 </w:t>
      </w:r>
    </w:p>
    <w:p w14:paraId="0D8F0B66" w14:textId="282903DC" w:rsidR="00EE5DFE" w:rsidRDefault="00000000" w:rsidP="00AB1711">
      <w:pPr>
        <w:pBdr>
          <w:top w:val="nil"/>
          <w:left w:val="nil"/>
          <w:bottom w:val="nil"/>
          <w:right w:val="nil"/>
          <w:between w:val="nil"/>
        </w:pBdr>
        <w:spacing w:before="120"/>
        <w:jc w:val="left"/>
        <w:rPr>
          <w:color w:val="000000"/>
          <w:vertAlign w:val="superscript"/>
        </w:rPr>
      </w:pPr>
      <w:r>
        <w:rPr>
          <w:color w:val="000000"/>
        </w:rPr>
        <w:t xml:space="preserve">Siti Fatimah </w:t>
      </w:r>
      <w:r>
        <w:rPr>
          <w:color w:val="000000"/>
          <w:vertAlign w:val="superscript"/>
        </w:rPr>
        <w:t>1</w:t>
      </w:r>
      <w:r>
        <w:rPr>
          <w:color w:val="000000"/>
        </w:rPr>
        <w:t xml:space="preserve">*, Ruslaini </w:t>
      </w:r>
      <w:r>
        <w:rPr>
          <w:color w:val="000000"/>
          <w:vertAlign w:val="superscript"/>
        </w:rPr>
        <w:t>2</w:t>
      </w:r>
      <w:r>
        <w:rPr>
          <w:color w:val="000000"/>
        </w:rPr>
        <w:t>, Yessica Amelia</w:t>
      </w:r>
      <w:r>
        <w:rPr>
          <w:color w:val="000000"/>
          <w:vertAlign w:val="superscript"/>
        </w:rPr>
        <w:t>3</w:t>
      </w:r>
    </w:p>
    <w:tbl>
      <w:tblPr>
        <w:tblStyle w:val="a"/>
        <w:tblpPr w:leftFromText="198" w:rightFromText="198" w:vertAnchor="page" w:horzAnchor="margin" w:tblpY="11276"/>
        <w:tblW w:w="2410" w:type="dxa"/>
        <w:tblLayout w:type="fixed"/>
        <w:tblLook w:val="0400" w:firstRow="0" w:lastRow="0" w:firstColumn="0" w:lastColumn="0" w:noHBand="0" w:noVBand="1"/>
      </w:tblPr>
      <w:tblGrid>
        <w:gridCol w:w="2410"/>
      </w:tblGrid>
      <w:tr w:rsidR="00EE5DFE" w14:paraId="645C6F9E" w14:textId="77777777">
        <w:tc>
          <w:tcPr>
            <w:tcW w:w="2410" w:type="dxa"/>
          </w:tcPr>
          <w:p w14:paraId="1965EF0E" w14:textId="77777777" w:rsidR="00AB1711" w:rsidRPr="00FD7BE9" w:rsidRDefault="00AB1711" w:rsidP="00AB1711">
            <w:pPr>
              <w:pStyle w:val="historyFAITH"/>
              <w:rPr>
                <w:szCs w:val="16"/>
              </w:rPr>
            </w:pPr>
            <w:bookmarkStart w:id="0" w:name="_heading=h.4xk5cweyzmgq" w:colFirst="0" w:colLast="0"/>
            <w:bookmarkEnd w:id="0"/>
            <w:r w:rsidRPr="00FD7BE9">
              <w:rPr>
                <w:szCs w:val="16"/>
              </w:rPr>
              <w:t xml:space="preserve">Received: </w:t>
            </w:r>
            <w:r>
              <w:t>October</w:t>
            </w:r>
            <w:r w:rsidRPr="00FD7BE9">
              <w:t xml:space="preserve"> </w:t>
            </w:r>
            <w:r>
              <w:rPr>
                <w:szCs w:val="16"/>
              </w:rPr>
              <w:t>29</w:t>
            </w:r>
            <w:r w:rsidRPr="00FD7BE9">
              <w:rPr>
                <w:szCs w:val="16"/>
              </w:rPr>
              <w:t xml:space="preserve">, </w:t>
            </w:r>
            <w:r>
              <w:t>2025</w:t>
            </w:r>
          </w:p>
          <w:p w14:paraId="7690B211" w14:textId="77777777" w:rsidR="00AB1711" w:rsidRPr="00FD7BE9" w:rsidRDefault="00AB1711" w:rsidP="00AB1711">
            <w:pPr>
              <w:pStyle w:val="historyFAITH"/>
              <w:rPr>
                <w:szCs w:val="16"/>
              </w:rPr>
            </w:pPr>
            <w:r w:rsidRPr="00FD7BE9">
              <w:rPr>
                <w:szCs w:val="16"/>
              </w:rPr>
              <w:t xml:space="preserve">Revised: </w:t>
            </w:r>
            <w:r>
              <w:t>November</w:t>
            </w:r>
            <w:r w:rsidRPr="00FD7BE9">
              <w:t xml:space="preserve"> </w:t>
            </w:r>
            <w:r>
              <w:t>30</w:t>
            </w:r>
            <w:r w:rsidRPr="00FD7BE9">
              <w:t xml:space="preserve">, </w:t>
            </w:r>
            <w:r>
              <w:t>2025</w:t>
            </w:r>
          </w:p>
          <w:p w14:paraId="280C290B" w14:textId="77777777" w:rsidR="00AB1711" w:rsidRPr="00FD7BE9" w:rsidRDefault="00AB1711" w:rsidP="00AB1711">
            <w:pPr>
              <w:pStyle w:val="historyFAITH"/>
              <w:rPr>
                <w:szCs w:val="16"/>
              </w:rPr>
            </w:pPr>
            <w:r w:rsidRPr="00FD7BE9">
              <w:rPr>
                <w:szCs w:val="16"/>
              </w:rPr>
              <w:t>Accepted:</w:t>
            </w:r>
            <w:r>
              <w:t xml:space="preserve"> December</w:t>
            </w:r>
            <w:r w:rsidRPr="00FD7BE9">
              <w:t xml:space="preserve"> </w:t>
            </w:r>
            <w:r>
              <w:t>27</w:t>
            </w:r>
            <w:r w:rsidRPr="00FD7BE9">
              <w:t xml:space="preserve">, </w:t>
            </w:r>
            <w:r>
              <w:t>2025</w:t>
            </w:r>
          </w:p>
          <w:p w14:paraId="758F5001" w14:textId="77777777" w:rsidR="00AB1711" w:rsidRPr="00FD7BE9" w:rsidRDefault="00AB1711" w:rsidP="00AB1711">
            <w:pPr>
              <w:pStyle w:val="historyFAITH"/>
            </w:pPr>
            <w:r>
              <w:t>Published</w:t>
            </w:r>
            <w:r w:rsidRPr="00FD7BE9">
              <w:t xml:space="preserve">: </w:t>
            </w:r>
            <w:r>
              <w:t>December</w:t>
            </w:r>
            <w:r w:rsidRPr="00FD7BE9">
              <w:t xml:space="preserve"> </w:t>
            </w:r>
            <w:r>
              <w:t>31</w:t>
            </w:r>
            <w:r w:rsidRPr="00FD7BE9">
              <w:t xml:space="preserve">, </w:t>
            </w:r>
            <w:r>
              <w:t>2025</w:t>
            </w:r>
          </w:p>
          <w:p w14:paraId="1814786B" w14:textId="15FD1B5F" w:rsidR="00EE5DFE" w:rsidRDefault="00AB1711" w:rsidP="00AB1711">
            <w:pPr>
              <w:pBdr>
                <w:top w:val="nil"/>
                <w:left w:val="nil"/>
                <w:bottom w:val="nil"/>
                <w:right w:val="nil"/>
                <w:between w:val="nil"/>
              </w:pBdr>
              <w:spacing w:after="240"/>
              <w:ind w:right="113"/>
              <w:jc w:val="left"/>
              <w:rPr>
                <w:color w:val="000000"/>
                <w:sz w:val="16"/>
                <w:szCs w:val="16"/>
              </w:rPr>
            </w:pPr>
            <w:r w:rsidRPr="00AB1711">
              <w:rPr>
                <w:sz w:val="16"/>
                <w:szCs w:val="16"/>
              </w:rPr>
              <w:t>Curr. Ver.:</w:t>
            </w:r>
            <w:r w:rsidRPr="00AB1711">
              <w:rPr>
                <w:rFonts w:eastAsia="DengXian"/>
                <w:sz w:val="16"/>
                <w:szCs w:val="16"/>
              </w:rPr>
              <w:t xml:space="preserve"> </w:t>
            </w:r>
            <w:r w:rsidRPr="00AB1711">
              <w:rPr>
                <w:sz w:val="16"/>
                <w:szCs w:val="16"/>
              </w:rPr>
              <w:t>December 31, 2025</w:t>
            </w:r>
          </w:p>
        </w:tc>
      </w:tr>
      <w:tr w:rsidR="00EE5DFE" w14:paraId="4FBD7325" w14:textId="77777777">
        <w:tc>
          <w:tcPr>
            <w:tcW w:w="2410" w:type="dxa"/>
          </w:tcPr>
          <w:p w14:paraId="4932FCEE" w14:textId="77777777" w:rsidR="00EE5DFE" w:rsidRDefault="00000000">
            <w:pPr>
              <w:spacing w:before="120"/>
              <w:ind w:right="113"/>
              <w:jc w:val="left"/>
              <w:rPr>
                <w:sz w:val="14"/>
                <w:szCs w:val="14"/>
              </w:rPr>
            </w:pPr>
            <w:r>
              <w:rPr>
                <w:noProof/>
              </w:rPr>
              <w:drawing>
                <wp:inline distT="0" distB="0" distL="0" distR="0" wp14:anchorId="2C4B3335" wp14:editId="5BF8340C">
                  <wp:extent cx="937942" cy="329642"/>
                  <wp:effectExtent l="0" t="0" r="0" b="0"/>
                  <wp:docPr id="8657459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37942" cy="329642"/>
                          </a:xfrm>
                          <a:prstGeom prst="rect">
                            <a:avLst/>
                          </a:prstGeom>
                          <a:ln/>
                        </pic:spPr>
                      </pic:pic>
                    </a:graphicData>
                  </a:graphic>
                </wp:inline>
              </w:drawing>
            </w:r>
          </w:p>
          <w:p w14:paraId="441E0BF4" w14:textId="77777777" w:rsidR="00EE5DFE" w:rsidRDefault="00000000">
            <w:pPr>
              <w:pBdr>
                <w:top w:val="nil"/>
                <w:left w:val="nil"/>
                <w:bottom w:val="nil"/>
                <w:right w:val="nil"/>
                <w:between w:val="nil"/>
              </w:pBdr>
              <w:spacing w:before="120"/>
              <w:ind w:right="113"/>
              <w:jc w:val="left"/>
              <w:rPr>
                <w:color w:val="000000"/>
                <w:sz w:val="16"/>
                <w:szCs w:val="16"/>
              </w:rPr>
            </w:pPr>
            <w:r>
              <w:rPr>
                <w:color w:val="000000"/>
                <w:sz w:val="16"/>
                <w:szCs w:val="16"/>
              </w:rPr>
              <w:t>Copyright: © 2025 by the authors. Submitted for possible open access publication under the terms and conditions of the Creative Commons Attribution (CC BY SA) license (</w:t>
            </w:r>
            <w:r>
              <w:fldChar w:fldCharType="begin"/>
            </w:r>
            <w:r>
              <w:instrText>HYPERLINK "https://creativecommons.org/licenses/by-sa/4.0/" \h</w:instrText>
            </w:r>
            <w:r>
              <w:fldChar w:fldCharType="separate"/>
            </w:r>
            <w:r>
              <w:rPr>
                <w:color w:val="000000"/>
                <w:sz w:val="16"/>
                <w:szCs w:val="16"/>
                <w:u w:val="single"/>
              </w:rPr>
              <w:t>https://creativecommons.org/licenses/by-sa/4.0/</w:t>
            </w:r>
            <w:r>
              <w:fldChar w:fldCharType="end"/>
            </w:r>
            <w:r>
              <w:rPr>
                <w:color w:val="000000"/>
                <w:sz w:val="16"/>
                <w:szCs w:val="16"/>
              </w:rPr>
              <w:t>)</w:t>
            </w:r>
          </w:p>
        </w:tc>
      </w:tr>
    </w:tbl>
    <w:p w14:paraId="31F734AC" w14:textId="77777777" w:rsidR="00EE5DFE" w:rsidRDefault="00000000">
      <w:pPr>
        <w:pBdr>
          <w:top w:val="nil"/>
          <w:left w:val="nil"/>
          <w:bottom w:val="nil"/>
          <w:right w:val="nil"/>
          <w:between w:val="nil"/>
        </w:pBdr>
        <w:ind w:left="2806" w:hanging="198"/>
        <w:jc w:val="left"/>
        <w:rPr>
          <w:b w:val="0"/>
          <w:bCs w:val="0"/>
          <w:color w:val="000000"/>
          <w:sz w:val="20"/>
          <w:szCs w:val="20"/>
        </w:rPr>
      </w:pPr>
      <w:r>
        <w:rPr>
          <w:b w:val="0"/>
          <w:bCs w:val="0"/>
          <w:color w:val="000000"/>
          <w:sz w:val="20"/>
          <w:szCs w:val="20"/>
          <w:vertAlign w:val="superscript"/>
        </w:rPr>
        <w:t>1-3</w:t>
      </w:r>
      <w:r>
        <w:rPr>
          <w:b w:val="0"/>
          <w:bCs w:val="0"/>
          <w:color w:val="000000"/>
          <w:sz w:val="20"/>
          <w:szCs w:val="20"/>
        </w:rPr>
        <w:tab/>
        <w:t>Sekolah Tinggi Ilmu Ekonomi Kasih Bangsa, Jakarta, Indonesia</w:t>
      </w:r>
    </w:p>
    <w:p w14:paraId="73AC8957" w14:textId="31F99A59" w:rsidR="00EE5DFE" w:rsidRDefault="00000000">
      <w:pPr>
        <w:pBdr>
          <w:top w:val="nil"/>
          <w:left w:val="nil"/>
          <w:bottom w:val="nil"/>
          <w:right w:val="nil"/>
          <w:between w:val="nil"/>
        </w:pBdr>
        <w:ind w:left="2806" w:hanging="198"/>
        <w:jc w:val="left"/>
        <w:rPr>
          <w:b w:val="0"/>
          <w:bCs w:val="0"/>
          <w:color w:val="000000"/>
          <w:sz w:val="18"/>
          <w:szCs w:val="18"/>
        </w:rPr>
      </w:pPr>
      <w:r>
        <w:rPr>
          <w:color w:val="000000"/>
          <w:sz w:val="20"/>
          <w:szCs w:val="20"/>
        </w:rPr>
        <w:t>*</w:t>
      </w:r>
      <w:r>
        <w:rPr>
          <w:b w:val="0"/>
          <w:bCs w:val="0"/>
          <w:color w:val="000000"/>
          <w:sz w:val="20"/>
          <w:szCs w:val="20"/>
        </w:rPr>
        <w:tab/>
        <w:t xml:space="preserve">Corresponding Author: </w:t>
      </w:r>
      <w:r>
        <w:fldChar w:fldCharType="begin"/>
      </w:r>
      <w:r>
        <w:instrText>HYPERLINK "mailto:sitifatimahstiekb@gmail.com" \h</w:instrText>
      </w:r>
      <w:r>
        <w:fldChar w:fldCharType="separate"/>
      </w:r>
      <w:r>
        <w:rPr>
          <w:b w:val="0"/>
          <w:bCs w:val="0"/>
          <w:color w:val="0000FF"/>
          <w:sz w:val="20"/>
          <w:szCs w:val="20"/>
          <w:u w:val="single"/>
        </w:rPr>
        <w:t>sitifatimahstiekb@gmail.com</w:t>
      </w:r>
      <w:r>
        <w:fldChar w:fldCharType="end"/>
      </w:r>
      <w:r>
        <w:rPr>
          <w:b w:val="0"/>
          <w:bCs w:val="0"/>
          <w:color w:val="000000"/>
          <w:sz w:val="20"/>
          <w:szCs w:val="20"/>
        </w:rPr>
        <w:t xml:space="preserve"> </w:t>
      </w:r>
    </w:p>
    <w:p w14:paraId="3D1DCD29" w14:textId="77777777" w:rsidR="00EE5DFE" w:rsidRDefault="00EE5DFE">
      <w:pPr>
        <w:pBdr>
          <w:top w:val="nil"/>
          <w:left w:val="nil"/>
          <w:bottom w:val="nil"/>
          <w:right w:val="nil"/>
          <w:between w:val="nil"/>
        </w:pBdr>
        <w:ind w:left="2806" w:hanging="198"/>
        <w:jc w:val="left"/>
        <w:rPr>
          <w:b w:val="0"/>
          <w:bCs w:val="0"/>
          <w:color w:val="000000"/>
          <w:sz w:val="18"/>
          <w:szCs w:val="18"/>
        </w:rPr>
      </w:pPr>
    </w:p>
    <w:p w14:paraId="3B546FCB" w14:textId="77777777" w:rsidR="00EE5DFE" w:rsidRDefault="00000000">
      <w:pPr>
        <w:pBdr>
          <w:top w:val="nil"/>
          <w:left w:val="nil"/>
          <w:bottom w:val="nil"/>
          <w:right w:val="nil"/>
          <w:between w:val="nil"/>
        </w:pBdr>
        <w:spacing w:before="240"/>
        <w:ind w:left="2608"/>
        <w:rPr>
          <w:b w:val="0"/>
          <w:bCs w:val="0"/>
          <w:color w:val="000000"/>
          <w:sz w:val="20"/>
          <w:szCs w:val="20"/>
        </w:rPr>
      </w:pPr>
      <w:r>
        <w:rPr>
          <w:color w:val="000000"/>
          <w:sz w:val="20"/>
          <w:szCs w:val="20"/>
        </w:rPr>
        <w:t xml:space="preserve">Abstract: </w:t>
      </w:r>
      <w:r>
        <w:rPr>
          <w:b w:val="0"/>
          <w:bCs w:val="0"/>
          <w:color w:val="000000"/>
          <w:sz w:val="20"/>
          <w:szCs w:val="20"/>
        </w:rPr>
        <w:t>This study examines whether operating cash flow, leverage, profitability, and liquidity affect corporate income tax in consumer non-cyclical companies listed on the Indonesia Stock Exchange (IDX) during the 2021–2024 period. This research was conducted because corporate income tax payments in this sector tend to fluctuate and previous studies show inconsistent results. The purpose of this study is to identify which internal financial factors influence corporate income tax. This study uses a quantitative approach with secondary data obtained from audited annual financial statements. The population consists of 131 consumer non-cyclical companies, and 16 companies were selected as samples using purposive sampling. Data were analyzed using Partial Least Squares Structural Equation Modeling (PLS-SEM) with SmartPLS 4.0. The results show that operating cash flow has a positive and significant effect on corporate income tax, meaning that companies with higher operational cash inflows tend to pay higher corporate income tax. Leverage has a significant negative effect, indicating that higher debt levels reduce taxable income through interest expenses. Meanwhile, profitability and liquidity do not have a significant effect on corporate income tax. Overall, this study shows that cash flow and capital structure are more relevant in explaining corporate income tax than profitability and liquidity in consumer non-cyclical companies.</w:t>
      </w:r>
    </w:p>
    <w:p w14:paraId="315186AE" w14:textId="71A31561" w:rsidR="00EE5DFE" w:rsidRDefault="00000000">
      <w:pPr>
        <w:pBdr>
          <w:top w:val="nil"/>
          <w:left w:val="nil"/>
          <w:bottom w:val="nil"/>
          <w:right w:val="nil"/>
          <w:between w:val="nil"/>
        </w:pBdr>
        <w:spacing w:before="240"/>
        <w:ind w:left="2608"/>
        <w:rPr>
          <w:b w:val="0"/>
          <w:bCs w:val="0"/>
          <w:color w:val="000000"/>
          <w:sz w:val="20"/>
          <w:szCs w:val="20"/>
        </w:rPr>
      </w:pPr>
      <w:r>
        <w:rPr>
          <w:color w:val="000000"/>
          <w:sz w:val="20"/>
          <w:szCs w:val="20"/>
        </w:rPr>
        <w:t xml:space="preserve">Keywords: </w:t>
      </w:r>
      <w:r w:rsidR="00AB1711" w:rsidRPr="00AB1711">
        <w:rPr>
          <w:b w:val="0"/>
          <w:bCs w:val="0"/>
          <w:color w:val="000000"/>
          <w:sz w:val="20"/>
          <w:szCs w:val="20"/>
        </w:rPr>
        <w:t>Corporate Income Tax; Leverage; Liquidity; Operating Cash Flow; Profitability</w:t>
      </w:r>
      <w:r w:rsidR="00AB1711">
        <w:rPr>
          <w:b w:val="0"/>
          <w:bCs w:val="0"/>
          <w:color w:val="000000"/>
          <w:sz w:val="20"/>
          <w:szCs w:val="20"/>
        </w:rPr>
        <w:t>.</w:t>
      </w:r>
    </w:p>
    <w:p w14:paraId="1EB93CC8" w14:textId="77777777" w:rsidR="00EE5DFE" w:rsidRDefault="00000000">
      <w:pPr>
        <w:pBdr>
          <w:top w:val="nil"/>
          <w:left w:val="nil"/>
          <w:bottom w:val="nil"/>
          <w:right w:val="nil"/>
          <w:between w:val="nil"/>
        </w:pBdr>
        <w:spacing w:before="240" w:after="60" w:line="228" w:lineRule="auto"/>
        <w:ind w:left="2608"/>
        <w:jc w:val="left"/>
        <w:rPr>
          <w:color w:val="000000"/>
          <w:sz w:val="24"/>
          <w:szCs w:val="24"/>
        </w:rPr>
      </w:pPr>
      <w:r>
        <w:rPr>
          <w:color w:val="000000"/>
          <w:sz w:val="24"/>
          <w:szCs w:val="24"/>
        </w:rPr>
        <w:t>1. Introduction</w:t>
      </w:r>
    </w:p>
    <w:p w14:paraId="435D8612" w14:textId="307FE05E"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Tax plays a strategic role as a source of state revenue in supporting national development in Indonesia. State revenue mainly comes from tax revenue, non-tax state revenue, and grants, with tax revenue as the largest contributor . In 2023, the realization of state revenue reached IDR 1,869.2 trillion, increasing by 8.9% compared to the same period in 2022. Furthermore, data from Statistics Indonesia  reported that state revenue in 2024 amounted to IDR 2,637 trillion, with the largest contribution coming from the tax sector.</w:t>
      </w:r>
    </w:p>
    <w:p w14:paraId="75ED29F7" w14:textId="325EC616"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Income Tax is the main contributor to tax revenue in 2024, amounting to IDR 1,041 trillion or 49.13% of total tax revenue. This is followed by Value Added Tax (VAT) and Luxury Goods Sales Tax (PPnBM) of IDR 742 trillion or 35.04%, and excise tax of IDR 227 trillion or 10.73% . These data indicate that tax revenue is the main instrument for financing national development, where more than 80% of state revenue in the State Budget is derived from taxes, dominated by Income Tax. In this structure, the Ministry of Finance  notes that Corporate Income Tax contributes significantly to state revenue, accounting for 17.78%. Therefore, factors that influence corporate income tax payments are important to be continuously examined. Based on industrial sectors, the trade and manufacturing sectors are the largest contributors to tax revenue, contributing IDR 287.97 trillion or 25.35% of total tax revenue .</w:t>
      </w:r>
    </w:p>
    <w:p w14:paraId="2E536A0E" w14:textId="315B27AF"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One part of the trade and manufacturing sectors is the consumer non-cyclical sector, which includes food and beverage manufacturing as well as the distribution of basic consumer goods. This sector plays a strategic role in the national economy due to its relatively stable demand . However, corporate income tax payments in consumer non-cyclical companies show fluctuating trends, which may affect tax payments from companies in this sector .</w:t>
      </w:r>
    </w:p>
    <w:p w14:paraId="51186AF5" w14:textId="77777777" w:rsidR="00EE5DFE" w:rsidRDefault="00000000">
      <w:pPr>
        <w:pBdr>
          <w:top w:val="nil"/>
          <w:left w:val="nil"/>
          <w:bottom w:val="nil"/>
          <w:right w:val="nil"/>
          <w:between w:val="nil"/>
        </w:pBdr>
        <w:spacing w:line="228" w:lineRule="auto"/>
        <w:ind w:left="2608" w:firstLine="425"/>
        <w:rPr>
          <w:b w:val="0"/>
          <w:bCs w:val="0"/>
          <w:color w:val="000000"/>
        </w:rPr>
      </w:pPr>
      <w:r>
        <w:rPr>
          <w:noProof/>
        </w:rPr>
        <w:drawing>
          <wp:anchor distT="0" distB="0" distL="0" distR="0" simplePos="0" relativeHeight="251658240" behindDoc="1" locked="0" layoutInCell="1" hidden="0" allowOverlap="1" wp14:anchorId="5BF18840" wp14:editId="5C04DB8F">
            <wp:simplePos x="0" y="0"/>
            <wp:positionH relativeFrom="column">
              <wp:posOffset>1690777</wp:posOffset>
            </wp:positionH>
            <wp:positionV relativeFrom="paragraph">
              <wp:posOffset>53460</wp:posOffset>
            </wp:positionV>
            <wp:extent cx="4914018" cy="1924923"/>
            <wp:effectExtent l="0" t="0" r="0" b="0"/>
            <wp:wrapNone/>
            <wp:docPr id="8657459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914018" cy="1924923"/>
                    </a:xfrm>
                    <a:prstGeom prst="rect">
                      <a:avLst/>
                    </a:prstGeom>
                    <a:ln/>
                  </pic:spPr>
                </pic:pic>
              </a:graphicData>
            </a:graphic>
          </wp:anchor>
        </w:drawing>
      </w:r>
    </w:p>
    <w:p w14:paraId="30CC2AF9" w14:textId="77777777" w:rsidR="00EE5DFE" w:rsidRDefault="00EE5DFE">
      <w:pPr>
        <w:pBdr>
          <w:top w:val="nil"/>
          <w:left w:val="nil"/>
          <w:bottom w:val="nil"/>
          <w:right w:val="nil"/>
          <w:between w:val="nil"/>
        </w:pBdr>
        <w:spacing w:line="228" w:lineRule="auto"/>
        <w:ind w:left="2608" w:firstLine="425"/>
        <w:rPr>
          <w:b w:val="0"/>
          <w:bCs w:val="0"/>
          <w:color w:val="000000"/>
        </w:rPr>
      </w:pPr>
    </w:p>
    <w:p w14:paraId="23995080" w14:textId="77777777" w:rsidR="00EE5DFE" w:rsidRDefault="00EE5DFE">
      <w:pPr>
        <w:pBdr>
          <w:top w:val="nil"/>
          <w:left w:val="nil"/>
          <w:bottom w:val="nil"/>
          <w:right w:val="nil"/>
          <w:between w:val="nil"/>
        </w:pBdr>
        <w:spacing w:line="228" w:lineRule="auto"/>
        <w:ind w:left="2608" w:firstLine="425"/>
        <w:rPr>
          <w:b w:val="0"/>
          <w:bCs w:val="0"/>
          <w:color w:val="000000"/>
        </w:rPr>
      </w:pPr>
    </w:p>
    <w:p w14:paraId="4BB20143" w14:textId="77777777" w:rsidR="00EE5DFE" w:rsidRDefault="00EE5DFE">
      <w:pPr>
        <w:pBdr>
          <w:top w:val="nil"/>
          <w:left w:val="nil"/>
          <w:bottom w:val="nil"/>
          <w:right w:val="nil"/>
          <w:between w:val="nil"/>
        </w:pBdr>
        <w:spacing w:line="228" w:lineRule="auto"/>
        <w:ind w:left="2608" w:firstLine="425"/>
        <w:rPr>
          <w:b w:val="0"/>
          <w:bCs w:val="0"/>
          <w:color w:val="000000"/>
        </w:rPr>
      </w:pPr>
    </w:p>
    <w:p w14:paraId="06E73B1D" w14:textId="77777777" w:rsidR="00EE5DFE" w:rsidRDefault="00EE5DFE">
      <w:pPr>
        <w:pBdr>
          <w:top w:val="nil"/>
          <w:left w:val="nil"/>
          <w:bottom w:val="nil"/>
          <w:right w:val="nil"/>
          <w:between w:val="nil"/>
        </w:pBdr>
        <w:spacing w:line="228" w:lineRule="auto"/>
        <w:ind w:left="2608" w:firstLine="425"/>
        <w:rPr>
          <w:b w:val="0"/>
          <w:bCs w:val="0"/>
          <w:color w:val="000000"/>
        </w:rPr>
      </w:pPr>
    </w:p>
    <w:p w14:paraId="6FD37DDB" w14:textId="77777777" w:rsidR="00EE5DFE" w:rsidRDefault="00EE5DFE">
      <w:pPr>
        <w:pBdr>
          <w:top w:val="nil"/>
          <w:left w:val="nil"/>
          <w:bottom w:val="nil"/>
          <w:right w:val="nil"/>
          <w:between w:val="nil"/>
        </w:pBdr>
        <w:spacing w:line="228" w:lineRule="auto"/>
        <w:ind w:left="2608" w:firstLine="425"/>
        <w:rPr>
          <w:b w:val="0"/>
          <w:bCs w:val="0"/>
          <w:color w:val="000000"/>
        </w:rPr>
      </w:pPr>
    </w:p>
    <w:p w14:paraId="1F902ED9" w14:textId="77777777" w:rsidR="00EE5DFE" w:rsidRDefault="00EE5DFE">
      <w:pPr>
        <w:pBdr>
          <w:top w:val="nil"/>
          <w:left w:val="nil"/>
          <w:bottom w:val="nil"/>
          <w:right w:val="nil"/>
          <w:between w:val="nil"/>
        </w:pBdr>
        <w:spacing w:line="228" w:lineRule="auto"/>
        <w:ind w:left="2608" w:firstLine="425"/>
        <w:rPr>
          <w:b w:val="0"/>
          <w:bCs w:val="0"/>
          <w:color w:val="000000"/>
        </w:rPr>
      </w:pPr>
    </w:p>
    <w:p w14:paraId="79621112" w14:textId="77777777" w:rsidR="00EE5DFE" w:rsidRDefault="00EE5DFE">
      <w:pPr>
        <w:pBdr>
          <w:top w:val="nil"/>
          <w:left w:val="nil"/>
          <w:bottom w:val="nil"/>
          <w:right w:val="nil"/>
          <w:between w:val="nil"/>
        </w:pBdr>
        <w:spacing w:line="228" w:lineRule="auto"/>
        <w:ind w:left="2608" w:firstLine="425"/>
        <w:rPr>
          <w:b w:val="0"/>
          <w:bCs w:val="0"/>
          <w:color w:val="000000"/>
        </w:rPr>
      </w:pPr>
    </w:p>
    <w:p w14:paraId="4235E25D" w14:textId="77777777" w:rsidR="00EE5DFE" w:rsidRDefault="00EE5DFE">
      <w:pPr>
        <w:pBdr>
          <w:top w:val="nil"/>
          <w:left w:val="nil"/>
          <w:bottom w:val="nil"/>
          <w:right w:val="nil"/>
          <w:between w:val="nil"/>
        </w:pBdr>
        <w:spacing w:line="228" w:lineRule="auto"/>
        <w:ind w:left="2608" w:firstLine="425"/>
        <w:rPr>
          <w:b w:val="0"/>
          <w:bCs w:val="0"/>
          <w:color w:val="000000"/>
        </w:rPr>
      </w:pPr>
    </w:p>
    <w:p w14:paraId="2839E952" w14:textId="77777777" w:rsidR="00EE5DFE" w:rsidRDefault="00EE5DFE">
      <w:pPr>
        <w:pBdr>
          <w:top w:val="nil"/>
          <w:left w:val="nil"/>
          <w:bottom w:val="nil"/>
          <w:right w:val="nil"/>
          <w:between w:val="nil"/>
        </w:pBdr>
        <w:spacing w:line="228" w:lineRule="auto"/>
        <w:ind w:left="2608" w:firstLine="425"/>
        <w:rPr>
          <w:b w:val="0"/>
          <w:bCs w:val="0"/>
          <w:color w:val="000000"/>
        </w:rPr>
      </w:pPr>
    </w:p>
    <w:p w14:paraId="50B8B8F8" w14:textId="77777777" w:rsidR="00EE5DFE" w:rsidRDefault="00EE5DFE">
      <w:pPr>
        <w:pBdr>
          <w:top w:val="nil"/>
          <w:left w:val="nil"/>
          <w:bottom w:val="nil"/>
          <w:right w:val="nil"/>
          <w:between w:val="nil"/>
        </w:pBdr>
        <w:spacing w:line="228" w:lineRule="auto"/>
        <w:ind w:left="2608" w:firstLine="425"/>
        <w:rPr>
          <w:b w:val="0"/>
          <w:bCs w:val="0"/>
          <w:color w:val="000000"/>
        </w:rPr>
      </w:pPr>
    </w:p>
    <w:p w14:paraId="599CD530" w14:textId="77777777" w:rsidR="00EE5DFE" w:rsidRDefault="00EE5DFE">
      <w:pPr>
        <w:pBdr>
          <w:top w:val="nil"/>
          <w:left w:val="nil"/>
          <w:bottom w:val="nil"/>
          <w:right w:val="nil"/>
          <w:between w:val="nil"/>
        </w:pBdr>
        <w:spacing w:line="228" w:lineRule="auto"/>
        <w:ind w:left="2608" w:firstLine="425"/>
        <w:rPr>
          <w:b w:val="0"/>
          <w:bCs w:val="0"/>
          <w:color w:val="000000"/>
        </w:rPr>
      </w:pPr>
    </w:p>
    <w:p w14:paraId="70AB7D22" w14:textId="77777777" w:rsidR="00EE5DFE" w:rsidRDefault="00EE5DFE">
      <w:pPr>
        <w:pBdr>
          <w:top w:val="nil"/>
          <w:left w:val="nil"/>
          <w:bottom w:val="nil"/>
          <w:right w:val="nil"/>
          <w:between w:val="nil"/>
        </w:pBdr>
        <w:spacing w:line="228" w:lineRule="auto"/>
        <w:ind w:left="2608" w:firstLine="425"/>
        <w:jc w:val="center"/>
        <w:rPr>
          <w:b w:val="0"/>
          <w:bCs w:val="0"/>
          <w:color w:val="000000"/>
          <w:sz w:val="20"/>
          <w:szCs w:val="20"/>
        </w:rPr>
      </w:pPr>
    </w:p>
    <w:p w14:paraId="7DEC745D" w14:textId="77777777" w:rsidR="00EE5DFE" w:rsidRDefault="00EE5DFE">
      <w:pPr>
        <w:pBdr>
          <w:top w:val="nil"/>
          <w:left w:val="nil"/>
          <w:bottom w:val="nil"/>
          <w:right w:val="nil"/>
          <w:between w:val="nil"/>
        </w:pBdr>
        <w:spacing w:line="228" w:lineRule="auto"/>
        <w:ind w:left="2608" w:firstLine="425"/>
        <w:jc w:val="center"/>
        <w:rPr>
          <w:b w:val="0"/>
          <w:bCs w:val="0"/>
          <w:color w:val="000000"/>
          <w:sz w:val="20"/>
          <w:szCs w:val="20"/>
        </w:rPr>
      </w:pPr>
    </w:p>
    <w:p w14:paraId="73390D17" w14:textId="7777777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b w:val="0"/>
          <w:bCs w:val="0"/>
          <w:color w:val="000000"/>
          <w:sz w:val="20"/>
          <w:szCs w:val="20"/>
        </w:rPr>
        <w:t>Source: Processed Data (2025)</w:t>
      </w:r>
    </w:p>
    <w:p w14:paraId="6EB82E8D" w14:textId="77777777" w:rsidR="00EE5DFE" w:rsidRDefault="00000000">
      <w:pPr>
        <w:pBdr>
          <w:top w:val="nil"/>
          <w:left w:val="nil"/>
          <w:bottom w:val="nil"/>
          <w:right w:val="nil"/>
          <w:between w:val="nil"/>
        </w:pBdr>
        <w:spacing w:line="228" w:lineRule="auto"/>
        <w:ind w:left="2608" w:firstLine="425"/>
        <w:jc w:val="center"/>
        <w:rPr>
          <w:b w:val="0"/>
          <w:bCs w:val="0"/>
          <w:color w:val="000000"/>
        </w:rPr>
      </w:pPr>
      <w:r>
        <w:rPr>
          <w:color w:val="000000"/>
          <w:sz w:val="20"/>
          <w:szCs w:val="20"/>
        </w:rPr>
        <w:t xml:space="preserve">Figure 1. </w:t>
      </w:r>
      <w:r>
        <w:rPr>
          <w:b w:val="0"/>
          <w:bCs w:val="0"/>
          <w:color w:val="000000"/>
          <w:sz w:val="20"/>
          <w:szCs w:val="20"/>
        </w:rPr>
        <w:t>Average movement of Corporate Income Tax</w:t>
      </w:r>
      <w:r>
        <w:rPr>
          <w:b w:val="0"/>
          <w:bCs w:val="0"/>
          <w:color w:val="000000"/>
        </w:rPr>
        <w:t>.</w:t>
      </w:r>
    </w:p>
    <w:p w14:paraId="2ADED986" w14:textId="77777777" w:rsidR="00EE5DFE" w:rsidRDefault="00EE5DFE">
      <w:pPr>
        <w:pBdr>
          <w:top w:val="nil"/>
          <w:left w:val="nil"/>
          <w:bottom w:val="nil"/>
          <w:right w:val="nil"/>
          <w:between w:val="nil"/>
        </w:pBdr>
        <w:spacing w:line="228" w:lineRule="auto"/>
        <w:ind w:left="2608" w:firstLine="425"/>
        <w:rPr>
          <w:b w:val="0"/>
          <w:bCs w:val="0"/>
          <w:color w:val="000000"/>
        </w:rPr>
      </w:pPr>
    </w:p>
    <w:p w14:paraId="424BBEB9"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Figure 1 shows the average movement of Corporate Income Tax among consumer non-cyclical companies during the 2021–2024 period. The fluctuating pattern does not only reflect differences in companies’ ability to generate profits, but also indicates changes in operational activities, cost efficiency, and company responses to economic conditions during the period. These fluctuations highlight the importance of analyzing internal factors that may influence the amount of Corporate Income Tax.</w:t>
      </w:r>
    </w:p>
    <w:p w14:paraId="6EE09F43" w14:textId="56F9BDCD"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In calculating Corporate Income Tax, corporate profit is the main basis for determining the tax payable. One important indicator related to tax burden is profitability, where higher profitability is generally followed by higher tax payments . Previous studies by  and  find that profitability has a positive effect on Corporate Income Tax, meaning that companies with higher profits tend to have higher tax obligations. However, ) reports a negative effect of profitability on Corporate Income Tax. These different findings indicate that the relationship between profitability and Corporate Income Tax is still inconsistent.</w:t>
      </w:r>
    </w:p>
    <w:p w14:paraId="3A4AC84C" w14:textId="474F3164"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In addition to profitability, operating cash flow is another factor that may affect tax burden, as it reflects net cash generated from core business activities  Studies by  and  show that operating cash flow has a positive and significant effect on Corporate Income Tax. In contrast,  find that operating cash flow does not affect Corporate Income Tax. These inconsistent results indicate the need for further analysis to obtain a clearer understanding.</w:t>
      </w:r>
    </w:p>
    <w:p w14:paraId="61F2E84B" w14:textId="51FFF80D"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Another financial factor is leverage, which shows the extent to which companies use debt financing. The use of debt results in interest expenses that reduce corporate profit and may lower taxable income.  find that leverage has a significant effect on Corporate Income Tax. However, studies by  as well as  find no evidence that leverage affects Corporate Income Tax.</w:t>
      </w:r>
    </w:p>
    <w:p w14:paraId="3EC67989" w14:textId="1EA24975"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Besides these factors, liquidity also affects corporate financial conditions, as it reflects a company’s ability to meet short-term obligations . Companies with good liquidity tend to have sufficient cash and financial stability, which may influence Corporate Income Tax payments. However, previous studies show mixed results.  find that liquidity has a positive effect on Corporate Income Tax, while  find no effect.</w:t>
      </w:r>
    </w:p>
    <w:p w14:paraId="5F315303"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inconsistencies in previous research findings indicate the existence of a research gap. Moreover, studies that specifically focus on the consumer non-cyclical sector are still limited, and there is a lack of research that simultaneously examines profitability, operating cash flow, leverage, and liquidity on Corporate Income Tax for the 2021–2024 period. Therefore, this study aims to examine the effect of operating cash flow, leverage, profitability, and liquidity on Corporate Income Tax in consumer non-cyclical companies listed on the Indonesia Stock Exchange during the 2021–2024 period.</w:t>
      </w:r>
    </w:p>
    <w:p w14:paraId="024A768E" w14:textId="77777777" w:rsidR="00EE5DFE" w:rsidRDefault="00000000">
      <w:pPr>
        <w:pBdr>
          <w:top w:val="nil"/>
          <w:left w:val="nil"/>
          <w:bottom w:val="nil"/>
          <w:right w:val="nil"/>
          <w:between w:val="nil"/>
        </w:pBdr>
        <w:spacing w:before="240" w:after="60" w:line="228" w:lineRule="auto"/>
        <w:ind w:left="2608"/>
        <w:jc w:val="left"/>
        <w:rPr>
          <w:color w:val="000000"/>
          <w:sz w:val="24"/>
          <w:szCs w:val="24"/>
        </w:rPr>
      </w:pPr>
      <w:r>
        <w:rPr>
          <w:color w:val="000000"/>
          <w:sz w:val="24"/>
          <w:szCs w:val="24"/>
        </w:rPr>
        <w:t>2. Literature Review</w:t>
      </w:r>
    </w:p>
    <w:p w14:paraId="7DB2DE9A" w14:textId="77777777" w:rsidR="00EE5DFE" w:rsidRDefault="00000000">
      <w:pPr>
        <w:pBdr>
          <w:top w:val="nil"/>
          <w:left w:val="nil"/>
          <w:bottom w:val="nil"/>
          <w:right w:val="nil"/>
          <w:between w:val="nil"/>
        </w:pBdr>
        <w:spacing w:line="228" w:lineRule="auto"/>
        <w:ind w:left="2608"/>
        <w:jc w:val="left"/>
        <w:rPr>
          <w:color w:val="000000"/>
        </w:rPr>
      </w:pPr>
      <w:r>
        <w:rPr>
          <w:color w:val="000000"/>
        </w:rPr>
        <w:t>2.1 Agency Theory</w:t>
      </w:r>
    </w:p>
    <w:p w14:paraId="5212C2EA" w14:textId="4211503D"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 xml:space="preserve">Agency Theory was introduced by  and explains that an agency relationship arises when shareholders (principals) delegate decision-making authority to management (agents). This relationship is contractual in nature, where managers are responsible for making financial, operational, and strategic decisions on behalf of the owners . In the taxation context, </w:t>
      </w:r>
      <w:r>
        <w:rPr>
          <w:b w:val="0"/>
          <w:bCs w:val="0"/>
          <w:color w:val="000000"/>
        </w:rPr>
        <w:lastRenderedPageBreak/>
        <w:t xml:space="preserve">management acts as the party responsible for calculating and paying taxes, while the government, through the tax authority, acts as the principal that collects taxes . </w:t>
      </w:r>
    </w:p>
    <w:p w14:paraId="34CC7D6D" w14:textId="5843DEA0"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Differences in interests between principals and agents may lead to conflicts, particularly in decisions related to profit reporting and tax burden. The tax authority seeks to maximize tax revenue, while company management tends to minimize tax expenses to improve company performance .</w:t>
      </w:r>
    </w:p>
    <w:p w14:paraId="23F48016" w14:textId="77777777" w:rsidR="00EE5DFE" w:rsidRDefault="00EE5DFE">
      <w:pPr>
        <w:pBdr>
          <w:top w:val="nil"/>
          <w:left w:val="nil"/>
          <w:bottom w:val="nil"/>
          <w:right w:val="nil"/>
          <w:between w:val="nil"/>
        </w:pBdr>
        <w:spacing w:line="228" w:lineRule="auto"/>
        <w:ind w:left="2608" w:firstLine="425"/>
        <w:rPr>
          <w:b w:val="0"/>
          <w:bCs w:val="0"/>
          <w:color w:val="000000"/>
        </w:rPr>
      </w:pPr>
    </w:p>
    <w:p w14:paraId="75E29C63" w14:textId="77777777" w:rsidR="00EE5DFE" w:rsidRDefault="00000000">
      <w:pPr>
        <w:pBdr>
          <w:top w:val="nil"/>
          <w:left w:val="nil"/>
          <w:bottom w:val="nil"/>
          <w:right w:val="nil"/>
          <w:between w:val="nil"/>
        </w:pBdr>
        <w:spacing w:line="228" w:lineRule="auto"/>
        <w:ind w:left="2608"/>
        <w:jc w:val="left"/>
        <w:rPr>
          <w:color w:val="000000"/>
        </w:rPr>
      </w:pPr>
      <w:r>
        <w:rPr>
          <w:color w:val="000000"/>
        </w:rPr>
        <w:t>2.2 Corporate Income Tax</w:t>
      </w:r>
    </w:p>
    <w:p w14:paraId="11967E59" w14:textId="418877B2"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 xml:space="preserve">Tax is defined as a mandatory contribution paid by individuals or entities to the government to finance public expenditure . Based on , Corporate Income Tax is imposed on income earned by an entity during a fiscal year. The amount of Corporate Income Tax payable is calculated by multiplying taxable income by the applicable tax rate, which is 22% as stipulated in Law of the  Article 5 Paragraph 1. </w:t>
      </w:r>
    </w:p>
    <w:p w14:paraId="5579E3E3" w14:textId="5257CF6F"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Taxable income consists of operating income and non-operating income, after deducting expenses incurred to earn, collect, and maintain income. In this study, Corporate Income Tax is measured using the Effective Tax Rate (ETR), calculated as the ratio of income tax expense to profit before tax .</w:t>
      </w:r>
    </w:p>
    <w:tbl>
      <w:tblPr>
        <w:tblStyle w:val="a0"/>
        <w:tblW w:w="5189" w:type="dxa"/>
        <w:tblInd w:w="3260" w:type="dxa"/>
        <w:tblBorders>
          <w:top w:val="nil"/>
          <w:left w:val="nil"/>
          <w:bottom w:val="nil"/>
          <w:right w:val="nil"/>
          <w:insideH w:val="nil"/>
          <w:insideV w:val="nil"/>
        </w:tblBorders>
        <w:tblLayout w:type="fixed"/>
        <w:tblLook w:val="0400" w:firstRow="0" w:lastRow="0" w:firstColumn="0" w:lastColumn="0" w:noHBand="0" w:noVBand="1"/>
      </w:tblPr>
      <w:tblGrid>
        <w:gridCol w:w="3062"/>
        <w:gridCol w:w="2127"/>
      </w:tblGrid>
      <w:tr w:rsidR="00EE5DFE" w14:paraId="1B68F8FD" w14:textId="77777777">
        <w:tc>
          <w:tcPr>
            <w:tcW w:w="3062" w:type="dxa"/>
            <w:vMerge w:val="restart"/>
            <w:vAlign w:val="center"/>
          </w:tcPr>
          <w:p w14:paraId="40286736" w14:textId="77777777" w:rsidR="00EE5DFE" w:rsidRDefault="00000000">
            <w:pPr>
              <w:pBdr>
                <w:top w:val="nil"/>
                <w:left w:val="nil"/>
                <w:bottom w:val="nil"/>
                <w:right w:val="nil"/>
                <w:between w:val="nil"/>
              </w:pBdr>
              <w:spacing w:line="228" w:lineRule="auto"/>
              <w:jc w:val="right"/>
              <w:rPr>
                <w:rFonts w:ascii="Garamond" w:eastAsia="Garamond" w:hAnsi="Garamond" w:cs="Garamond"/>
                <w:b w:val="0"/>
                <w:bCs w:val="0"/>
                <w:sz w:val="20"/>
                <w:szCs w:val="20"/>
              </w:rPr>
            </w:pPr>
            <w:r>
              <w:rPr>
                <w:rFonts w:ascii="Garamond" w:eastAsia="Garamond" w:hAnsi="Garamond" w:cs="Garamond"/>
                <w:b w:val="0"/>
                <w:bCs w:val="0"/>
                <w:sz w:val="20"/>
                <w:szCs w:val="20"/>
              </w:rPr>
              <w:t>Effective Tax Rate (ETR) =</w:t>
            </w:r>
          </w:p>
        </w:tc>
        <w:tc>
          <w:tcPr>
            <w:tcW w:w="2127" w:type="dxa"/>
            <w:tcBorders>
              <w:bottom w:val="single" w:sz="4" w:space="0" w:color="000000"/>
            </w:tcBorders>
            <w:vAlign w:val="bottom"/>
          </w:tcPr>
          <w:p w14:paraId="690C6419" w14:textId="77777777" w:rsidR="00EE5DFE" w:rsidRDefault="00000000">
            <w:pPr>
              <w:pBdr>
                <w:top w:val="nil"/>
                <w:left w:val="nil"/>
                <w:bottom w:val="nil"/>
                <w:right w:val="nil"/>
                <w:between w:val="nil"/>
              </w:pBdr>
              <w:spacing w:line="228" w:lineRule="auto"/>
              <w:ind w:left="20"/>
              <w:jc w:val="center"/>
              <w:rPr>
                <w:rFonts w:ascii="Garamond" w:eastAsia="Garamond" w:hAnsi="Garamond" w:cs="Garamond"/>
                <w:b w:val="0"/>
                <w:bCs w:val="0"/>
                <w:sz w:val="20"/>
                <w:szCs w:val="20"/>
              </w:rPr>
            </w:pPr>
            <w:r>
              <w:rPr>
                <w:rFonts w:ascii="Garamond" w:eastAsia="Garamond" w:hAnsi="Garamond" w:cs="Garamond"/>
                <w:b w:val="0"/>
                <w:bCs w:val="0"/>
                <w:sz w:val="20"/>
                <w:szCs w:val="20"/>
              </w:rPr>
              <w:t>Income Tax Expense</w:t>
            </w:r>
          </w:p>
        </w:tc>
      </w:tr>
      <w:tr w:rsidR="00EE5DFE" w14:paraId="41D4ACDB" w14:textId="77777777">
        <w:tc>
          <w:tcPr>
            <w:tcW w:w="3062" w:type="dxa"/>
            <w:vMerge/>
            <w:vAlign w:val="center"/>
          </w:tcPr>
          <w:p w14:paraId="2524B696" w14:textId="77777777" w:rsidR="00EE5DFE" w:rsidRDefault="00EE5DFE">
            <w:pPr>
              <w:widowControl w:val="0"/>
              <w:pBdr>
                <w:top w:val="nil"/>
                <w:left w:val="nil"/>
                <w:bottom w:val="nil"/>
                <w:right w:val="nil"/>
                <w:between w:val="nil"/>
              </w:pBdr>
              <w:spacing w:line="276" w:lineRule="auto"/>
              <w:jc w:val="left"/>
              <w:rPr>
                <w:rFonts w:ascii="Garamond" w:eastAsia="Garamond" w:hAnsi="Garamond" w:cs="Garamond"/>
                <w:b w:val="0"/>
                <w:bCs w:val="0"/>
                <w:sz w:val="20"/>
                <w:szCs w:val="20"/>
              </w:rPr>
            </w:pPr>
          </w:p>
        </w:tc>
        <w:tc>
          <w:tcPr>
            <w:tcW w:w="2127" w:type="dxa"/>
            <w:tcBorders>
              <w:top w:val="single" w:sz="4" w:space="0" w:color="000000"/>
            </w:tcBorders>
            <w:vAlign w:val="center"/>
          </w:tcPr>
          <w:p w14:paraId="0C7D6692" w14:textId="77777777" w:rsidR="00EE5DFE" w:rsidRDefault="00000000">
            <w:pPr>
              <w:pBdr>
                <w:top w:val="nil"/>
                <w:left w:val="nil"/>
                <w:bottom w:val="nil"/>
                <w:right w:val="nil"/>
                <w:between w:val="nil"/>
              </w:pBdr>
              <w:spacing w:line="228" w:lineRule="auto"/>
              <w:jc w:val="center"/>
              <w:rPr>
                <w:rFonts w:ascii="Garamond" w:eastAsia="Garamond" w:hAnsi="Garamond" w:cs="Garamond"/>
                <w:b w:val="0"/>
                <w:bCs w:val="0"/>
                <w:sz w:val="20"/>
                <w:szCs w:val="20"/>
              </w:rPr>
            </w:pPr>
            <w:r>
              <w:rPr>
                <w:rFonts w:ascii="Garamond" w:eastAsia="Garamond" w:hAnsi="Garamond" w:cs="Garamond"/>
                <w:b w:val="0"/>
                <w:bCs w:val="0"/>
                <w:sz w:val="20"/>
                <w:szCs w:val="20"/>
              </w:rPr>
              <w:t>Profit Before Tax</w:t>
            </w:r>
          </w:p>
        </w:tc>
      </w:tr>
    </w:tbl>
    <w:p w14:paraId="16F821C8"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2.3 Operating Cash Flow</w:t>
      </w:r>
    </w:p>
    <w:p w14:paraId="4834AF6D" w14:textId="49ABCA0A"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operating cash flow ratio reflects an entity’s ability to meet short-term liabilities using cash generated from operating activities. In this study, the operating cash flow ratio is calculated by comparing net cash from operating activities to current liabilities . A company’s operating activities include cash inflows and outflows arising from external parties, such as the collection of receivables, payment of employee salaries, fulfillment of tax obligations, and other operational transactions. Therefore, operating cash flow serves as an indicator of a company’s capacity to repay loans, distribute dividends, fulfill tax obligations, and finance investments without relying on external funding . In this study, the operating cash flow ratio is calculated using the following formula:</w:t>
      </w:r>
    </w:p>
    <w:tbl>
      <w:tblPr>
        <w:tblStyle w:val="a1"/>
        <w:tblpPr w:leftFromText="180" w:rightFromText="180" w:vertAnchor="text" w:tblpX="4622" w:tblpY="128"/>
        <w:tblW w:w="5188" w:type="dxa"/>
        <w:tblBorders>
          <w:top w:val="nil"/>
          <w:left w:val="nil"/>
          <w:bottom w:val="nil"/>
          <w:right w:val="nil"/>
          <w:insideH w:val="nil"/>
          <w:insideV w:val="nil"/>
        </w:tblBorders>
        <w:tblLayout w:type="fixed"/>
        <w:tblLook w:val="0400" w:firstRow="0" w:lastRow="0" w:firstColumn="0" w:lastColumn="0" w:noHBand="0" w:noVBand="1"/>
      </w:tblPr>
      <w:tblGrid>
        <w:gridCol w:w="2694"/>
        <w:gridCol w:w="2494"/>
      </w:tblGrid>
      <w:tr w:rsidR="00EE5DFE" w14:paraId="77676A4B" w14:textId="77777777">
        <w:tc>
          <w:tcPr>
            <w:tcW w:w="2694" w:type="dxa"/>
            <w:vMerge w:val="restart"/>
            <w:vAlign w:val="center"/>
          </w:tcPr>
          <w:p w14:paraId="283AC429" w14:textId="77777777" w:rsidR="00EE5DFE" w:rsidRDefault="00000000">
            <w:pPr>
              <w:pBdr>
                <w:top w:val="nil"/>
                <w:left w:val="nil"/>
                <w:bottom w:val="nil"/>
                <w:right w:val="nil"/>
                <w:between w:val="nil"/>
              </w:pBdr>
              <w:spacing w:line="228" w:lineRule="auto"/>
              <w:jc w:val="left"/>
              <w:rPr>
                <w:rFonts w:ascii="Garamond" w:eastAsia="Garamond" w:hAnsi="Garamond" w:cs="Garamond"/>
                <w:b w:val="0"/>
                <w:bCs w:val="0"/>
                <w:sz w:val="20"/>
                <w:szCs w:val="20"/>
              </w:rPr>
            </w:pPr>
            <w:r>
              <w:rPr>
                <w:rFonts w:ascii="Garamond" w:eastAsia="Garamond" w:hAnsi="Garamond" w:cs="Garamond"/>
                <w:b w:val="0"/>
                <w:bCs w:val="0"/>
                <w:sz w:val="20"/>
                <w:szCs w:val="20"/>
              </w:rPr>
              <w:t>Operating Cash Flow Ratio (OCFR) =</w:t>
            </w:r>
          </w:p>
        </w:tc>
        <w:tc>
          <w:tcPr>
            <w:tcW w:w="2494" w:type="dxa"/>
            <w:tcBorders>
              <w:bottom w:val="single" w:sz="4" w:space="0" w:color="000000"/>
            </w:tcBorders>
            <w:vAlign w:val="bottom"/>
          </w:tcPr>
          <w:p w14:paraId="71843162" w14:textId="77777777" w:rsidR="00EE5DFE" w:rsidRDefault="00000000">
            <w:pPr>
              <w:pBdr>
                <w:top w:val="nil"/>
                <w:left w:val="nil"/>
                <w:bottom w:val="nil"/>
                <w:right w:val="nil"/>
                <w:between w:val="nil"/>
              </w:pBdr>
              <w:spacing w:line="228" w:lineRule="auto"/>
              <w:ind w:left="20"/>
              <w:jc w:val="center"/>
              <w:rPr>
                <w:rFonts w:ascii="Garamond" w:eastAsia="Garamond" w:hAnsi="Garamond" w:cs="Garamond"/>
                <w:b w:val="0"/>
                <w:bCs w:val="0"/>
                <w:sz w:val="20"/>
                <w:szCs w:val="20"/>
              </w:rPr>
            </w:pPr>
            <w:r>
              <w:rPr>
                <w:rFonts w:ascii="Garamond" w:eastAsia="Garamond" w:hAnsi="Garamond" w:cs="Garamond"/>
                <w:b w:val="0"/>
                <w:bCs w:val="0"/>
                <w:sz w:val="20"/>
                <w:szCs w:val="20"/>
              </w:rPr>
              <w:t>Net Cash from Operating Activities</w:t>
            </w:r>
          </w:p>
        </w:tc>
      </w:tr>
      <w:tr w:rsidR="00EE5DFE" w14:paraId="5BDF1969" w14:textId="77777777">
        <w:tc>
          <w:tcPr>
            <w:tcW w:w="2694" w:type="dxa"/>
            <w:vMerge/>
            <w:vAlign w:val="center"/>
          </w:tcPr>
          <w:p w14:paraId="5565BC73" w14:textId="77777777" w:rsidR="00EE5DFE" w:rsidRDefault="00EE5DFE">
            <w:pPr>
              <w:widowControl w:val="0"/>
              <w:pBdr>
                <w:top w:val="nil"/>
                <w:left w:val="nil"/>
                <w:bottom w:val="nil"/>
                <w:right w:val="nil"/>
                <w:between w:val="nil"/>
              </w:pBdr>
              <w:spacing w:line="276" w:lineRule="auto"/>
              <w:jc w:val="left"/>
              <w:rPr>
                <w:rFonts w:ascii="Garamond" w:eastAsia="Garamond" w:hAnsi="Garamond" w:cs="Garamond"/>
                <w:b w:val="0"/>
                <w:bCs w:val="0"/>
                <w:sz w:val="20"/>
                <w:szCs w:val="20"/>
              </w:rPr>
            </w:pPr>
          </w:p>
        </w:tc>
        <w:tc>
          <w:tcPr>
            <w:tcW w:w="2494" w:type="dxa"/>
            <w:tcBorders>
              <w:top w:val="single" w:sz="4" w:space="0" w:color="000000"/>
            </w:tcBorders>
            <w:vAlign w:val="center"/>
          </w:tcPr>
          <w:p w14:paraId="3AFB75B3" w14:textId="77777777" w:rsidR="00EE5DFE" w:rsidRDefault="00000000">
            <w:pPr>
              <w:pBdr>
                <w:top w:val="nil"/>
                <w:left w:val="nil"/>
                <w:bottom w:val="nil"/>
                <w:right w:val="nil"/>
                <w:between w:val="nil"/>
              </w:pBdr>
              <w:spacing w:line="228" w:lineRule="auto"/>
              <w:jc w:val="center"/>
              <w:rPr>
                <w:rFonts w:ascii="Garamond" w:eastAsia="Garamond" w:hAnsi="Garamond" w:cs="Garamond"/>
                <w:b w:val="0"/>
                <w:bCs w:val="0"/>
                <w:sz w:val="20"/>
                <w:szCs w:val="20"/>
              </w:rPr>
            </w:pPr>
            <w:r>
              <w:rPr>
                <w:rFonts w:ascii="Garamond" w:eastAsia="Garamond" w:hAnsi="Garamond" w:cs="Garamond"/>
                <w:b w:val="0"/>
                <w:bCs w:val="0"/>
                <w:sz w:val="20"/>
                <w:szCs w:val="20"/>
              </w:rPr>
              <w:t>Current Liabilities</w:t>
            </w:r>
          </w:p>
        </w:tc>
      </w:tr>
    </w:tbl>
    <w:p w14:paraId="18DEB2A1" w14:textId="77777777" w:rsidR="00EE5DFE" w:rsidRDefault="00EE5DFE">
      <w:pPr>
        <w:pBdr>
          <w:top w:val="nil"/>
          <w:left w:val="nil"/>
          <w:bottom w:val="nil"/>
          <w:right w:val="nil"/>
          <w:between w:val="nil"/>
        </w:pBdr>
        <w:spacing w:line="228" w:lineRule="auto"/>
        <w:ind w:left="2608" w:firstLine="425"/>
        <w:rPr>
          <w:b w:val="0"/>
          <w:bCs w:val="0"/>
          <w:color w:val="000000"/>
        </w:rPr>
      </w:pPr>
    </w:p>
    <w:p w14:paraId="32778A07" w14:textId="77777777" w:rsidR="00EE5DFE" w:rsidRDefault="00EE5DFE">
      <w:pPr>
        <w:pBdr>
          <w:top w:val="nil"/>
          <w:left w:val="nil"/>
          <w:bottom w:val="nil"/>
          <w:right w:val="nil"/>
          <w:between w:val="nil"/>
        </w:pBdr>
        <w:spacing w:line="228" w:lineRule="auto"/>
        <w:ind w:left="2608" w:firstLine="425"/>
        <w:rPr>
          <w:b w:val="0"/>
          <w:bCs w:val="0"/>
          <w:color w:val="000000"/>
        </w:rPr>
      </w:pPr>
    </w:p>
    <w:p w14:paraId="2EF70995" w14:textId="77777777" w:rsidR="00EE5DFE" w:rsidRDefault="00EE5DFE">
      <w:pPr>
        <w:pBdr>
          <w:top w:val="nil"/>
          <w:left w:val="nil"/>
          <w:bottom w:val="nil"/>
          <w:right w:val="nil"/>
          <w:between w:val="nil"/>
        </w:pBdr>
        <w:spacing w:line="228" w:lineRule="auto"/>
        <w:ind w:left="2608" w:firstLine="425"/>
        <w:rPr>
          <w:b w:val="0"/>
          <w:bCs w:val="0"/>
          <w:color w:val="000000"/>
        </w:rPr>
      </w:pPr>
    </w:p>
    <w:p w14:paraId="56376734" w14:textId="77777777" w:rsidR="00EE5DFE" w:rsidRDefault="00EE5DFE">
      <w:pPr>
        <w:pBdr>
          <w:top w:val="nil"/>
          <w:left w:val="nil"/>
          <w:bottom w:val="nil"/>
          <w:right w:val="nil"/>
          <w:between w:val="nil"/>
        </w:pBdr>
        <w:spacing w:line="228" w:lineRule="auto"/>
        <w:ind w:left="2608" w:firstLine="425"/>
        <w:rPr>
          <w:b w:val="0"/>
          <w:bCs w:val="0"/>
          <w:color w:val="000000"/>
        </w:rPr>
      </w:pPr>
    </w:p>
    <w:p w14:paraId="267F1A12" w14:textId="4426A0B2"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Empirical findings regarding the effect of operating cash flow on Corporate Income Tax (CIT) show mixed results.  found that operating cash flow has a positive and significant effect on tax expense, as companies with strong operating activities tend to generate higher fiscal income. Similar findings were reported by Inayati &amp; Wardiningsih (2021), who stated that a company’s ability to generate cash from operating activities increases its capacity to pay income tax. However, different results were obtained by , who found that operating cash flow does not have a significant effect on Corporate Income Tax, indicating that the magnitude of operating cash flow does not always align with the amount of taxable income reported. Based on these differing empirical findings, the first hypothesis is formulated as follows:</w:t>
      </w:r>
    </w:p>
    <w:p w14:paraId="7517F8C1" w14:textId="77777777" w:rsidR="00EE5DFE" w:rsidRDefault="00000000">
      <w:pPr>
        <w:pBdr>
          <w:top w:val="nil"/>
          <w:left w:val="nil"/>
          <w:bottom w:val="nil"/>
          <w:right w:val="nil"/>
          <w:between w:val="nil"/>
        </w:pBdr>
        <w:spacing w:line="228" w:lineRule="auto"/>
        <w:ind w:left="2608"/>
        <w:rPr>
          <w:color w:val="000000"/>
        </w:rPr>
      </w:pPr>
      <w:r>
        <w:rPr>
          <w:color w:val="000000"/>
        </w:rPr>
        <w:t>H1: Operating Cash Flow has an effect on Corporate Income Tax.</w:t>
      </w:r>
    </w:p>
    <w:p w14:paraId="33AF0A9C"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2.4 Leverage</w:t>
      </w:r>
    </w:p>
    <w:p w14:paraId="5D36DE4F" w14:textId="70C8B70F"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Leverage is a ratio that describes the extent to which a company utilizes liabilities in its capital structure, which may ultimately affect the amount of Corporate Income Tax (CIT) payable . According to , leverage ratios are used to measure the extent to which a company’s assets are financed by debt, by comparing total debt with assets or equity.</w:t>
      </w:r>
    </w:p>
    <w:p w14:paraId="1CFB5C29" w14:textId="77777777" w:rsidR="00EE5DFE" w:rsidRDefault="00EE5DFE">
      <w:pPr>
        <w:pBdr>
          <w:top w:val="nil"/>
          <w:left w:val="nil"/>
          <w:bottom w:val="nil"/>
          <w:right w:val="nil"/>
          <w:between w:val="nil"/>
        </w:pBdr>
        <w:spacing w:line="228" w:lineRule="auto"/>
        <w:ind w:left="2608" w:firstLine="425"/>
        <w:rPr>
          <w:b w:val="0"/>
          <w:bCs w:val="0"/>
          <w:color w:val="000000"/>
        </w:rPr>
      </w:pPr>
    </w:p>
    <w:p w14:paraId="720B541A" w14:textId="7882ED00"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Miller and Modigliani, as cited in , argue that when corporate taxes are considered, the use of debt increases firm value because interest expenses are tax-deductible. Consequently, the tax burden borne by the company can be reduced. In this study, leverage is measured using the Debt to Equity Ratio (DER). According to , the DER is calculated using the following formula:</w:t>
      </w:r>
    </w:p>
    <w:p w14:paraId="37A66707" w14:textId="77777777" w:rsidR="00EE5DFE" w:rsidRDefault="00EE5DFE">
      <w:pPr>
        <w:pBdr>
          <w:top w:val="nil"/>
          <w:left w:val="nil"/>
          <w:bottom w:val="nil"/>
          <w:right w:val="nil"/>
          <w:between w:val="nil"/>
        </w:pBdr>
        <w:spacing w:line="228" w:lineRule="auto"/>
        <w:ind w:left="2608" w:firstLine="425"/>
        <w:rPr>
          <w:b w:val="0"/>
          <w:bCs w:val="0"/>
          <w:color w:val="000000"/>
        </w:rPr>
      </w:pPr>
    </w:p>
    <w:tbl>
      <w:tblPr>
        <w:tblStyle w:val="a2"/>
        <w:tblW w:w="5189" w:type="dxa"/>
        <w:tblInd w:w="3260" w:type="dxa"/>
        <w:tblBorders>
          <w:top w:val="nil"/>
          <w:left w:val="nil"/>
          <w:bottom w:val="nil"/>
          <w:right w:val="nil"/>
          <w:insideH w:val="nil"/>
          <w:insideV w:val="nil"/>
        </w:tblBorders>
        <w:tblLayout w:type="fixed"/>
        <w:tblLook w:val="0400" w:firstRow="0" w:lastRow="0" w:firstColumn="0" w:lastColumn="0" w:noHBand="0" w:noVBand="1"/>
      </w:tblPr>
      <w:tblGrid>
        <w:gridCol w:w="3062"/>
        <w:gridCol w:w="2127"/>
      </w:tblGrid>
      <w:tr w:rsidR="00EE5DFE" w14:paraId="575A04BF" w14:textId="77777777">
        <w:tc>
          <w:tcPr>
            <w:tcW w:w="3062" w:type="dxa"/>
            <w:vMerge w:val="restart"/>
            <w:vAlign w:val="center"/>
          </w:tcPr>
          <w:p w14:paraId="05CB3B82" w14:textId="77777777" w:rsidR="00EE5DFE" w:rsidRDefault="00000000">
            <w:pPr>
              <w:pBdr>
                <w:top w:val="nil"/>
                <w:left w:val="nil"/>
                <w:bottom w:val="nil"/>
                <w:right w:val="nil"/>
                <w:between w:val="nil"/>
              </w:pBdr>
              <w:spacing w:line="228" w:lineRule="auto"/>
              <w:jc w:val="right"/>
              <w:rPr>
                <w:rFonts w:ascii="Garamond" w:eastAsia="Garamond" w:hAnsi="Garamond" w:cs="Garamond"/>
                <w:b w:val="0"/>
                <w:bCs w:val="0"/>
                <w:sz w:val="20"/>
                <w:szCs w:val="20"/>
              </w:rPr>
            </w:pPr>
            <w:r>
              <w:rPr>
                <w:rFonts w:ascii="Garamond" w:eastAsia="Garamond" w:hAnsi="Garamond" w:cs="Garamond"/>
                <w:b w:val="0"/>
                <w:bCs w:val="0"/>
                <w:sz w:val="20"/>
                <w:szCs w:val="20"/>
              </w:rPr>
              <w:t>Debt to Equity Ratio (DER) =</w:t>
            </w:r>
          </w:p>
        </w:tc>
        <w:tc>
          <w:tcPr>
            <w:tcW w:w="2127" w:type="dxa"/>
            <w:tcBorders>
              <w:bottom w:val="single" w:sz="4" w:space="0" w:color="000000"/>
            </w:tcBorders>
            <w:vAlign w:val="center"/>
          </w:tcPr>
          <w:p w14:paraId="60B69409" w14:textId="77777777" w:rsidR="00EE5DFE" w:rsidRDefault="00000000">
            <w:pPr>
              <w:pBdr>
                <w:top w:val="nil"/>
                <w:left w:val="nil"/>
                <w:bottom w:val="nil"/>
                <w:right w:val="nil"/>
                <w:between w:val="nil"/>
              </w:pBdr>
              <w:spacing w:line="228" w:lineRule="auto"/>
              <w:ind w:left="20"/>
              <w:jc w:val="center"/>
              <w:rPr>
                <w:rFonts w:ascii="Garamond" w:eastAsia="Garamond" w:hAnsi="Garamond" w:cs="Garamond"/>
                <w:b w:val="0"/>
                <w:bCs w:val="0"/>
                <w:sz w:val="20"/>
                <w:szCs w:val="20"/>
              </w:rPr>
            </w:pPr>
            <w:r>
              <w:rPr>
                <w:rFonts w:ascii="Garamond" w:eastAsia="Garamond" w:hAnsi="Garamond" w:cs="Garamond"/>
                <w:b w:val="0"/>
                <w:bCs w:val="0"/>
                <w:sz w:val="20"/>
                <w:szCs w:val="20"/>
              </w:rPr>
              <w:t>Total Debt</w:t>
            </w:r>
          </w:p>
        </w:tc>
      </w:tr>
      <w:tr w:rsidR="00EE5DFE" w14:paraId="2851F40D" w14:textId="77777777">
        <w:tc>
          <w:tcPr>
            <w:tcW w:w="3062" w:type="dxa"/>
            <w:vMerge/>
            <w:vAlign w:val="center"/>
          </w:tcPr>
          <w:p w14:paraId="3374E74F" w14:textId="77777777" w:rsidR="00EE5DFE" w:rsidRDefault="00EE5DFE">
            <w:pPr>
              <w:widowControl w:val="0"/>
              <w:pBdr>
                <w:top w:val="nil"/>
                <w:left w:val="nil"/>
                <w:bottom w:val="nil"/>
                <w:right w:val="nil"/>
                <w:between w:val="nil"/>
              </w:pBdr>
              <w:spacing w:line="276" w:lineRule="auto"/>
              <w:jc w:val="left"/>
              <w:rPr>
                <w:rFonts w:ascii="Garamond" w:eastAsia="Garamond" w:hAnsi="Garamond" w:cs="Garamond"/>
                <w:b w:val="0"/>
                <w:bCs w:val="0"/>
                <w:sz w:val="20"/>
                <w:szCs w:val="20"/>
              </w:rPr>
            </w:pPr>
          </w:p>
        </w:tc>
        <w:tc>
          <w:tcPr>
            <w:tcW w:w="2127" w:type="dxa"/>
            <w:tcBorders>
              <w:top w:val="single" w:sz="4" w:space="0" w:color="000000"/>
            </w:tcBorders>
            <w:vAlign w:val="center"/>
          </w:tcPr>
          <w:p w14:paraId="26DA85F6" w14:textId="77777777" w:rsidR="00EE5DFE" w:rsidRDefault="00000000">
            <w:pPr>
              <w:pBdr>
                <w:top w:val="nil"/>
                <w:left w:val="nil"/>
                <w:bottom w:val="nil"/>
                <w:right w:val="nil"/>
                <w:between w:val="nil"/>
              </w:pBdr>
              <w:spacing w:line="228" w:lineRule="auto"/>
              <w:jc w:val="center"/>
              <w:rPr>
                <w:rFonts w:ascii="Garamond" w:eastAsia="Garamond" w:hAnsi="Garamond" w:cs="Garamond"/>
                <w:b w:val="0"/>
                <w:bCs w:val="0"/>
                <w:sz w:val="20"/>
                <w:szCs w:val="20"/>
              </w:rPr>
            </w:pPr>
            <w:r>
              <w:rPr>
                <w:rFonts w:ascii="Garamond" w:eastAsia="Garamond" w:hAnsi="Garamond" w:cs="Garamond"/>
                <w:b w:val="0"/>
                <w:bCs w:val="0"/>
                <w:sz w:val="20"/>
                <w:szCs w:val="20"/>
              </w:rPr>
              <w:t>Total Equity</w:t>
            </w:r>
          </w:p>
        </w:tc>
      </w:tr>
    </w:tbl>
    <w:p w14:paraId="6B0C6DB6" w14:textId="77777777" w:rsidR="00EE5DFE" w:rsidRDefault="00EE5DFE">
      <w:pPr>
        <w:pBdr>
          <w:top w:val="nil"/>
          <w:left w:val="nil"/>
          <w:bottom w:val="nil"/>
          <w:right w:val="nil"/>
          <w:between w:val="nil"/>
        </w:pBdr>
        <w:spacing w:line="228" w:lineRule="auto"/>
        <w:ind w:left="2608" w:firstLine="425"/>
        <w:rPr>
          <w:b w:val="0"/>
          <w:bCs w:val="0"/>
          <w:color w:val="000000"/>
        </w:rPr>
      </w:pPr>
    </w:p>
    <w:p w14:paraId="56D9DAE6" w14:textId="06E30366"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Research by  explained that leverage does not have a significant impact on Corporate Income Tax. In contrast,  found that the Debt to Equity Ratio (DER), as an indicator of leverage, partially affects Corporate Income Tax. Based on these inconsistent findings, the second hypothesis is formulated as follows:</w:t>
      </w:r>
    </w:p>
    <w:p w14:paraId="7EAF8616" w14:textId="77777777" w:rsidR="00EE5DFE" w:rsidRDefault="00000000">
      <w:pPr>
        <w:pBdr>
          <w:top w:val="nil"/>
          <w:left w:val="nil"/>
          <w:bottom w:val="nil"/>
          <w:right w:val="nil"/>
          <w:between w:val="nil"/>
        </w:pBdr>
        <w:spacing w:line="228" w:lineRule="auto"/>
        <w:ind w:left="2608"/>
        <w:rPr>
          <w:color w:val="000000"/>
        </w:rPr>
      </w:pPr>
      <w:r>
        <w:rPr>
          <w:color w:val="000000"/>
        </w:rPr>
        <w:t>H2: Leverage has an effect on Corporate Income Tax.</w:t>
      </w:r>
    </w:p>
    <w:p w14:paraId="2EB806B5"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2.5 Profitability</w:t>
      </w:r>
    </w:p>
    <w:p w14:paraId="64E62C63" w14:textId="5CB90BC2"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primary objective of a company is to maximize profit, and profitability measures are used to assess the extent to which a company is able to generate such profits . According to Kasmir (2011), as cited in , profitability ratios function to evaluate a company’s ability to generate profit. Profitability theory, as a reference for measuring the level of profit, is essential to determine whether a company operates efficiently . High profits do not always indicate high profitability; however, high profitability clearly reflects a company’s efficiency in generating earnings.</w:t>
      </w:r>
    </w:p>
    <w:p w14:paraId="6D41BB9C" w14:textId="3CA858F9"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Profitability is commonly measured using indicators such as return on assets, net profit margin, return on equity, and return on investment . In this study, Net Profit Margin (NPM) is employed as the profitability indicator, which reflects the proportion of net income generated from each unit of revenue. According to , profitability measured using Net Profit Margin (NPM) can be calculated using the following formula:</w:t>
      </w:r>
    </w:p>
    <w:p w14:paraId="0DC75439" w14:textId="77777777" w:rsidR="00EE5DFE" w:rsidRDefault="00EE5DFE">
      <w:pPr>
        <w:pBdr>
          <w:top w:val="nil"/>
          <w:left w:val="nil"/>
          <w:bottom w:val="nil"/>
          <w:right w:val="nil"/>
          <w:between w:val="nil"/>
        </w:pBdr>
        <w:spacing w:line="228" w:lineRule="auto"/>
        <w:ind w:left="2608" w:firstLine="425"/>
        <w:rPr>
          <w:b w:val="0"/>
          <w:bCs w:val="0"/>
          <w:color w:val="000000"/>
        </w:rPr>
      </w:pPr>
    </w:p>
    <w:tbl>
      <w:tblPr>
        <w:tblStyle w:val="a3"/>
        <w:tblW w:w="5189" w:type="dxa"/>
        <w:tblInd w:w="3260" w:type="dxa"/>
        <w:tblBorders>
          <w:top w:val="nil"/>
          <w:left w:val="nil"/>
          <w:bottom w:val="nil"/>
          <w:right w:val="nil"/>
          <w:insideH w:val="nil"/>
          <w:insideV w:val="nil"/>
        </w:tblBorders>
        <w:tblLayout w:type="fixed"/>
        <w:tblLook w:val="0400" w:firstRow="0" w:lastRow="0" w:firstColumn="0" w:lastColumn="0" w:noHBand="0" w:noVBand="1"/>
      </w:tblPr>
      <w:tblGrid>
        <w:gridCol w:w="3062"/>
        <w:gridCol w:w="2127"/>
      </w:tblGrid>
      <w:tr w:rsidR="00EE5DFE" w14:paraId="54A960A0" w14:textId="77777777">
        <w:tc>
          <w:tcPr>
            <w:tcW w:w="3062" w:type="dxa"/>
            <w:vMerge w:val="restart"/>
            <w:vAlign w:val="center"/>
          </w:tcPr>
          <w:p w14:paraId="32F6CE9F" w14:textId="77777777" w:rsidR="00EE5DFE" w:rsidRDefault="00000000">
            <w:pPr>
              <w:pBdr>
                <w:top w:val="nil"/>
                <w:left w:val="nil"/>
                <w:bottom w:val="nil"/>
                <w:right w:val="nil"/>
                <w:between w:val="nil"/>
              </w:pBdr>
              <w:spacing w:line="228" w:lineRule="auto"/>
              <w:jc w:val="right"/>
              <w:rPr>
                <w:rFonts w:ascii="Garamond" w:eastAsia="Garamond" w:hAnsi="Garamond" w:cs="Garamond"/>
                <w:b w:val="0"/>
                <w:bCs w:val="0"/>
                <w:sz w:val="20"/>
                <w:szCs w:val="20"/>
              </w:rPr>
            </w:pPr>
            <w:r>
              <w:rPr>
                <w:rFonts w:ascii="Garamond" w:eastAsia="Garamond" w:hAnsi="Garamond" w:cs="Garamond"/>
                <w:b w:val="0"/>
                <w:bCs w:val="0"/>
                <w:sz w:val="20"/>
                <w:szCs w:val="20"/>
              </w:rPr>
              <w:t>Net Profit Margin (NPM)) =</w:t>
            </w:r>
          </w:p>
        </w:tc>
        <w:tc>
          <w:tcPr>
            <w:tcW w:w="2127" w:type="dxa"/>
            <w:tcBorders>
              <w:bottom w:val="single" w:sz="4" w:space="0" w:color="000000"/>
            </w:tcBorders>
            <w:vAlign w:val="center"/>
          </w:tcPr>
          <w:p w14:paraId="41618147" w14:textId="77777777" w:rsidR="00EE5DFE" w:rsidRDefault="00000000">
            <w:pPr>
              <w:pBdr>
                <w:top w:val="nil"/>
                <w:left w:val="nil"/>
                <w:bottom w:val="nil"/>
                <w:right w:val="nil"/>
                <w:between w:val="nil"/>
              </w:pBdr>
              <w:spacing w:line="228" w:lineRule="auto"/>
              <w:ind w:left="20"/>
              <w:jc w:val="center"/>
              <w:rPr>
                <w:rFonts w:ascii="Garamond" w:eastAsia="Garamond" w:hAnsi="Garamond" w:cs="Garamond"/>
                <w:b w:val="0"/>
                <w:bCs w:val="0"/>
                <w:sz w:val="20"/>
                <w:szCs w:val="20"/>
              </w:rPr>
            </w:pPr>
            <w:r>
              <w:rPr>
                <w:rFonts w:ascii="Garamond" w:eastAsia="Garamond" w:hAnsi="Garamond" w:cs="Garamond"/>
                <w:b w:val="0"/>
                <w:bCs w:val="0"/>
                <w:sz w:val="20"/>
                <w:szCs w:val="20"/>
              </w:rPr>
              <w:t>Net Income</w:t>
            </w:r>
          </w:p>
        </w:tc>
      </w:tr>
      <w:tr w:rsidR="00EE5DFE" w14:paraId="1FA9A0FD" w14:textId="77777777">
        <w:tc>
          <w:tcPr>
            <w:tcW w:w="3062" w:type="dxa"/>
            <w:vMerge/>
            <w:vAlign w:val="center"/>
          </w:tcPr>
          <w:p w14:paraId="00ECC02E" w14:textId="77777777" w:rsidR="00EE5DFE" w:rsidRDefault="00EE5DFE">
            <w:pPr>
              <w:widowControl w:val="0"/>
              <w:pBdr>
                <w:top w:val="nil"/>
                <w:left w:val="nil"/>
                <w:bottom w:val="nil"/>
                <w:right w:val="nil"/>
                <w:between w:val="nil"/>
              </w:pBdr>
              <w:spacing w:line="276" w:lineRule="auto"/>
              <w:jc w:val="left"/>
              <w:rPr>
                <w:rFonts w:ascii="Garamond" w:eastAsia="Garamond" w:hAnsi="Garamond" w:cs="Garamond"/>
                <w:b w:val="0"/>
                <w:bCs w:val="0"/>
                <w:sz w:val="20"/>
                <w:szCs w:val="20"/>
              </w:rPr>
            </w:pPr>
          </w:p>
        </w:tc>
        <w:tc>
          <w:tcPr>
            <w:tcW w:w="2127" w:type="dxa"/>
            <w:tcBorders>
              <w:top w:val="single" w:sz="4" w:space="0" w:color="000000"/>
            </w:tcBorders>
            <w:vAlign w:val="center"/>
          </w:tcPr>
          <w:p w14:paraId="15956753" w14:textId="77777777" w:rsidR="00EE5DFE" w:rsidRDefault="00000000">
            <w:pPr>
              <w:pBdr>
                <w:top w:val="nil"/>
                <w:left w:val="nil"/>
                <w:bottom w:val="nil"/>
                <w:right w:val="nil"/>
                <w:between w:val="nil"/>
              </w:pBdr>
              <w:spacing w:line="228" w:lineRule="auto"/>
              <w:jc w:val="center"/>
              <w:rPr>
                <w:rFonts w:ascii="Garamond" w:eastAsia="Garamond" w:hAnsi="Garamond" w:cs="Garamond"/>
                <w:b w:val="0"/>
                <w:bCs w:val="0"/>
                <w:sz w:val="20"/>
                <w:szCs w:val="20"/>
              </w:rPr>
            </w:pPr>
            <w:r>
              <w:rPr>
                <w:rFonts w:ascii="Garamond" w:eastAsia="Garamond" w:hAnsi="Garamond" w:cs="Garamond"/>
                <w:b w:val="0"/>
                <w:bCs w:val="0"/>
                <w:sz w:val="20"/>
                <w:szCs w:val="20"/>
              </w:rPr>
              <w:t>Sales (Revenue)</w:t>
            </w:r>
          </w:p>
        </w:tc>
      </w:tr>
    </w:tbl>
    <w:p w14:paraId="4991D3FA" w14:textId="77777777" w:rsidR="00EE5DFE" w:rsidRDefault="00EE5DFE">
      <w:pPr>
        <w:pBdr>
          <w:top w:val="nil"/>
          <w:left w:val="nil"/>
          <w:bottom w:val="nil"/>
          <w:right w:val="nil"/>
          <w:between w:val="nil"/>
        </w:pBdr>
        <w:spacing w:line="228" w:lineRule="auto"/>
        <w:ind w:left="2608" w:firstLine="425"/>
        <w:rPr>
          <w:b w:val="0"/>
          <w:bCs w:val="0"/>
          <w:color w:val="000000"/>
        </w:rPr>
      </w:pPr>
    </w:p>
    <w:p w14:paraId="7A7DF9A4" w14:textId="7FC0EEA2"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This ratio reflects a company’s ability to control costs and generate profit. Net Profit Margin (NPM) is found to have an influence on Corporate Income Tax, as supported by  and . However, studies by , , and  indicate that profitability does not affect Corporate Income Tax. Based on these differing empirical results, the third hypothesis is formulated as follows:</w:t>
      </w:r>
    </w:p>
    <w:p w14:paraId="4DDF0C9A" w14:textId="77777777" w:rsidR="00EE5DFE" w:rsidRDefault="00000000">
      <w:pPr>
        <w:pBdr>
          <w:top w:val="nil"/>
          <w:left w:val="nil"/>
          <w:bottom w:val="nil"/>
          <w:right w:val="nil"/>
          <w:between w:val="nil"/>
        </w:pBdr>
        <w:spacing w:line="228" w:lineRule="auto"/>
        <w:ind w:left="2608"/>
        <w:rPr>
          <w:color w:val="000000"/>
        </w:rPr>
      </w:pPr>
      <w:r>
        <w:rPr>
          <w:color w:val="000000"/>
        </w:rPr>
        <w:t>H3: Profitability has an effect on Corporate Income Tax.</w:t>
      </w:r>
    </w:p>
    <w:p w14:paraId="00F34BE3"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2.6 Liquidity</w:t>
      </w:r>
    </w:p>
    <w:p w14:paraId="10B2F213" w14:textId="4C70D755"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Liquidity is defined as a measure that reflects a company’s ability to meet its short-term liabilities; an increase in liquidity indicates healthy corporate performance in fulfilling such obligations . Liquidity ratios are used to assess a company’s ability to meet short-term obligations as they become due. If a company is able to settle these obligations, it is considered to be in a liquid condition . The level of liquidity can be measured using various indicators, such as the current ratio, cash ratio, and quick ratio .</w:t>
      </w:r>
    </w:p>
    <w:p w14:paraId="3BFD75A1" w14:textId="28DFF150"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In this study, liquidity is proxied by the Current Ratio, which measures a company’s ability to meet short-term liabilities using current assets. According to  used the Current Ratio as an indicator of liquidity, calculated using the following formula:</w:t>
      </w:r>
    </w:p>
    <w:p w14:paraId="059685B5" w14:textId="77777777" w:rsidR="00EE5DFE" w:rsidRDefault="00EE5DFE">
      <w:pPr>
        <w:pBdr>
          <w:top w:val="nil"/>
          <w:left w:val="nil"/>
          <w:bottom w:val="nil"/>
          <w:right w:val="nil"/>
          <w:between w:val="nil"/>
        </w:pBdr>
        <w:spacing w:line="228" w:lineRule="auto"/>
        <w:ind w:left="2608" w:firstLine="425"/>
        <w:rPr>
          <w:b w:val="0"/>
          <w:bCs w:val="0"/>
          <w:color w:val="000000"/>
        </w:rPr>
      </w:pPr>
    </w:p>
    <w:tbl>
      <w:tblPr>
        <w:tblStyle w:val="a4"/>
        <w:tblW w:w="5189" w:type="dxa"/>
        <w:tblInd w:w="3260" w:type="dxa"/>
        <w:tblBorders>
          <w:top w:val="nil"/>
          <w:left w:val="nil"/>
          <w:bottom w:val="nil"/>
          <w:right w:val="nil"/>
          <w:insideH w:val="nil"/>
          <w:insideV w:val="nil"/>
        </w:tblBorders>
        <w:tblLayout w:type="fixed"/>
        <w:tblLook w:val="0400" w:firstRow="0" w:lastRow="0" w:firstColumn="0" w:lastColumn="0" w:noHBand="0" w:noVBand="1"/>
      </w:tblPr>
      <w:tblGrid>
        <w:gridCol w:w="3062"/>
        <w:gridCol w:w="2127"/>
      </w:tblGrid>
      <w:tr w:rsidR="00EE5DFE" w14:paraId="6A597374" w14:textId="77777777">
        <w:tc>
          <w:tcPr>
            <w:tcW w:w="3062" w:type="dxa"/>
            <w:vMerge w:val="restart"/>
            <w:vAlign w:val="center"/>
          </w:tcPr>
          <w:p w14:paraId="7A94353C" w14:textId="77777777" w:rsidR="00EE5DFE" w:rsidRDefault="00000000">
            <w:pPr>
              <w:pBdr>
                <w:top w:val="nil"/>
                <w:left w:val="nil"/>
                <w:bottom w:val="nil"/>
                <w:right w:val="nil"/>
                <w:between w:val="nil"/>
              </w:pBdr>
              <w:spacing w:line="228" w:lineRule="auto"/>
              <w:jc w:val="right"/>
              <w:rPr>
                <w:rFonts w:ascii="Garamond" w:eastAsia="Garamond" w:hAnsi="Garamond" w:cs="Garamond"/>
                <w:b w:val="0"/>
                <w:bCs w:val="0"/>
                <w:sz w:val="20"/>
                <w:szCs w:val="20"/>
              </w:rPr>
            </w:pPr>
            <w:r>
              <w:rPr>
                <w:rFonts w:ascii="Garamond" w:eastAsia="Garamond" w:hAnsi="Garamond" w:cs="Garamond"/>
                <w:b w:val="0"/>
                <w:bCs w:val="0"/>
                <w:sz w:val="20"/>
                <w:szCs w:val="20"/>
              </w:rPr>
              <w:t>Current Ratio (CR) =</w:t>
            </w:r>
          </w:p>
        </w:tc>
        <w:tc>
          <w:tcPr>
            <w:tcW w:w="2127" w:type="dxa"/>
            <w:tcBorders>
              <w:bottom w:val="single" w:sz="4" w:space="0" w:color="000000"/>
            </w:tcBorders>
            <w:vAlign w:val="center"/>
          </w:tcPr>
          <w:p w14:paraId="22CB3FC0" w14:textId="77777777" w:rsidR="00EE5DFE" w:rsidRDefault="00000000">
            <w:pPr>
              <w:pBdr>
                <w:top w:val="nil"/>
                <w:left w:val="nil"/>
                <w:bottom w:val="nil"/>
                <w:right w:val="nil"/>
                <w:between w:val="nil"/>
              </w:pBdr>
              <w:spacing w:line="228" w:lineRule="auto"/>
              <w:ind w:left="20"/>
              <w:jc w:val="center"/>
              <w:rPr>
                <w:rFonts w:ascii="Garamond" w:eastAsia="Garamond" w:hAnsi="Garamond" w:cs="Garamond"/>
                <w:b w:val="0"/>
                <w:bCs w:val="0"/>
                <w:sz w:val="20"/>
                <w:szCs w:val="20"/>
              </w:rPr>
            </w:pPr>
            <w:r>
              <w:rPr>
                <w:rFonts w:ascii="Garamond" w:eastAsia="Garamond" w:hAnsi="Garamond" w:cs="Garamond"/>
                <w:b w:val="0"/>
                <w:bCs w:val="0"/>
                <w:sz w:val="20"/>
                <w:szCs w:val="20"/>
              </w:rPr>
              <w:t>Current Assets</w:t>
            </w:r>
          </w:p>
        </w:tc>
      </w:tr>
      <w:tr w:rsidR="00EE5DFE" w14:paraId="74307796" w14:textId="77777777">
        <w:tc>
          <w:tcPr>
            <w:tcW w:w="3062" w:type="dxa"/>
            <w:vMerge/>
            <w:vAlign w:val="center"/>
          </w:tcPr>
          <w:p w14:paraId="04AF06A8" w14:textId="77777777" w:rsidR="00EE5DFE" w:rsidRDefault="00EE5DFE">
            <w:pPr>
              <w:widowControl w:val="0"/>
              <w:pBdr>
                <w:top w:val="nil"/>
                <w:left w:val="nil"/>
                <w:bottom w:val="nil"/>
                <w:right w:val="nil"/>
                <w:between w:val="nil"/>
              </w:pBdr>
              <w:spacing w:line="276" w:lineRule="auto"/>
              <w:jc w:val="left"/>
              <w:rPr>
                <w:rFonts w:ascii="Garamond" w:eastAsia="Garamond" w:hAnsi="Garamond" w:cs="Garamond"/>
                <w:b w:val="0"/>
                <w:bCs w:val="0"/>
                <w:sz w:val="20"/>
                <w:szCs w:val="20"/>
              </w:rPr>
            </w:pPr>
          </w:p>
        </w:tc>
        <w:tc>
          <w:tcPr>
            <w:tcW w:w="2127" w:type="dxa"/>
            <w:tcBorders>
              <w:top w:val="single" w:sz="4" w:space="0" w:color="000000"/>
            </w:tcBorders>
            <w:vAlign w:val="center"/>
          </w:tcPr>
          <w:p w14:paraId="499F0285" w14:textId="77777777" w:rsidR="00EE5DFE" w:rsidRDefault="00000000">
            <w:pPr>
              <w:pBdr>
                <w:top w:val="nil"/>
                <w:left w:val="nil"/>
                <w:bottom w:val="nil"/>
                <w:right w:val="nil"/>
                <w:between w:val="nil"/>
              </w:pBdr>
              <w:spacing w:line="228" w:lineRule="auto"/>
              <w:jc w:val="center"/>
              <w:rPr>
                <w:rFonts w:ascii="Garamond" w:eastAsia="Garamond" w:hAnsi="Garamond" w:cs="Garamond"/>
                <w:b w:val="0"/>
                <w:bCs w:val="0"/>
                <w:sz w:val="20"/>
                <w:szCs w:val="20"/>
              </w:rPr>
            </w:pPr>
            <w:r>
              <w:rPr>
                <w:rFonts w:ascii="Garamond" w:eastAsia="Garamond" w:hAnsi="Garamond" w:cs="Garamond"/>
                <w:b w:val="0"/>
                <w:bCs w:val="0"/>
                <w:sz w:val="20"/>
                <w:szCs w:val="20"/>
              </w:rPr>
              <w:t>Current Liabilities</w:t>
            </w:r>
          </w:p>
        </w:tc>
      </w:tr>
    </w:tbl>
    <w:p w14:paraId="0268BC71" w14:textId="77777777" w:rsidR="00EE5DFE" w:rsidRDefault="00EE5DFE">
      <w:pPr>
        <w:pBdr>
          <w:top w:val="nil"/>
          <w:left w:val="nil"/>
          <w:bottom w:val="nil"/>
          <w:right w:val="nil"/>
          <w:between w:val="nil"/>
        </w:pBdr>
        <w:spacing w:line="228" w:lineRule="auto"/>
        <w:ind w:left="2608" w:firstLine="425"/>
        <w:rPr>
          <w:b w:val="0"/>
          <w:bCs w:val="0"/>
          <w:color w:val="000000"/>
        </w:rPr>
      </w:pPr>
    </w:p>
    <w:p w14:paraId="0711F3C6" w14:textId="7A8A82D8"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Research by  found that liquidity has an effect on Corporate Income Tax, whereas  and  reported that liquidity does not affect Corporate Income Tax. These inconsistent findings indicate that the relationship between liquidity and Corporate Income Tax remains inconclusive. Based on these differences, the fourth hypothesis is formulated as follows:</w:t>
      </w:r>
    </w:p>
    <w:p w14:paraId="56C1B9AA" w14:textId="77777777" w:rsidR="00EE5DFE" w:rsidRDefault="00000000">
      <w:pPr>
        <w:pBdr>
          <w:top w:val="nil"/>
          <w:left w:val="nil"/>
          <w:bottom w:val="nil"/>
          <w:right w:val="nil"/>
          <w:between w:val="nil"/>
        </w:pBdr>
        <w:spacing w:line="228" w:lineRule="auto"/>
        <w:ind w:left="2608"/>
        <w:rPr>
          <w:color w:val="000000"/>
        </w:rPr>
      </w:pPr>
      <w:r>
        <w:rPr>
          <w:color w:val="000000"/>
        </w:rPr>
        <w:t>H4: Liquidity has an effect on Corporate Income Tax.</w:t>
      </w:r>
    </w:p>
    <w:p w14:paraId="60FC8B35" w14:textId="77777777" w:rsidR="00EE5DFE" w:rsidRDefault="00000000">
      <w:pPr>
        <w:pBdr>
          <w:top w:val="nil"/>
          <w:left w:val="nil"/>
          <w:bottom w:val="nil"/>
          <w:right w:val="nil"/>
          <w:between w:val="nil"/>
        </w:pBdr>
        <w:spacing w:before="240" w:after="60" w:line="228" w:lineRule="auto"/>
        <w:ind w:left="2608"/>
        <w:jc w:val="left"/>
        <w:rPr>
          <w:color w:val="000000"/>
          <w:sz w:val="24"/>
          <w:szCs w:val="24"/>
        </w:rPr>
      </w:pPr>
      <w:r>
        <w:rPr>
          <w:color w:val="000000"/>
          <w:sz w:val="24"/>
          <w:szCs w:val="24"/>
        </w:rPr>
        <w:t>3. Materials and Method</w:t>
      </w:r>
    </w:p>
    <w:p w14:paraId="537566B7"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 xml:space="preserve">This study employed a quantitative research design to examine the effect of Operating Cash Flow, Leverage, Profitability, and Liquidity on Corporate Income Tax (CIT Badan) in Consumer Non-Cyclicals companies listed on the Indonesia Stock Exchange (IDX) during the 2021–2024 period. The study used secondary data obtained from annual financial statements published by the Indonesia Stock Exchange </w:t>
      </w:r>
      <w:r w:rsidRPr="00AB1711">
        <w:rPr>
          <w:b w:val="0"/>
          <w:bCs w:val="0"/>
        </w:rPr>
        <w:t>(</w:t>
      </w:r>
      <w:r w:rsidRPr="00AB1711">
        <w:fldChar w:fldCharType="begin"/>
      </w:r>
      <w:r w:rsidRPr="00AB1711">
        <w:instrText>HYPERLINK "http://www.idx.co.id" \h</w:instrText>
      </w:r>
      <w:r w:rsidRPr="00AB1711">
        <w:fldChar w:fldCharType="separate"/>
      </w:r>
      <w:r w:rsidRPr="00AB1711">
        <w:rPr>
          <w:b w:val="0"/>
          <w:bCs w:val="0"/>
        </w:rPr>
        <w:t>www.idx.co.id</w:t>
      </w:r>
      <w:r w:rsidRPr="00AB1711">
        <w:fldChar w:fldCharType="end"/>
      </w:r>
      <w:r w:rsidRPr="00AB1711">
        <w:rPr>
          <w:b w:val="0"/>
          <w:bCs w:val="0"/>
        </w:rPr>
        <w:t xml:space="preserve">) </w:t>
      </w:r>
      <w:r>
        <w:rPr>
          <w:b w:val="0"/>
          <w:bCs w:val="0"/>
          <w:color w:val="000000"/>
        </w:rPr>
        <w:t>and the official websites of the respective companies. The data were collected, recorded, and processed systematically for analysis.</w:t>
      </w:r>
    </w:p>
    <w:p w14:paraId="59F25AFD"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lastRenderedPageBreak/>
        <w:t>The population consisted of 131 Consumer Non-Cyclicals companies listed on the IDX during the observation period. Sample selection was conducted using a purposive sampling technique with the following criteria: (1) companies consistently listed on the IDX from 2021 to 2024; (2) companies reporting positive operating cash flows throughout the observation period; (3) companies publishing complete annual financial statements; and (4) availability of data related to operating cash flow, leverage, profitability, liquidity, and corporate income tax. Based on these criteria, 16 companies were selected as the research sample, resulting in 64 firm-year observations.</w:t>
      </w:r>
    </w:p>
    <w:p w14:paraId="419973F3" w14:textId="4B09925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Data analysis was conducted using Partial Least Squares–Structural Equation Modeling (PLS-SEM) with SmartPLS version 4.0. The PLS-SEM approach was selected due to its suitability for predictive analysis and its ability to handle relatively small sample sizes . SmartPLS 4.0 enables efficient estimation of structural relationships and provides statistical significance testing through bootstrapping, as well as evaluation of effect size and predictive relevance.</w:t>
      </w:r>
    </w:p>
    <w:p w14:paraId="37021B87" w14:textId="1057DD2D"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Each variable in this study was measured using a single financial ratio as an objective indicator rather than a latent construct. Therefore, measurement model evaluation was not required . Prior to structural model assessment, descriptive statistical analysis was performed to describe the characteristics of the research data. Multicollinearity was examined using the Variance Inflation Factor (VIF), where VIF values below 5 indicate the absence of multicollinearity issues. Structural model evaluation included the assessment of coefficient of determination (R²), effect size (f²), predictive relevance (Q²), and hypothesis testing using the bootstrapping procedure, following the PLS-SEM methodological guidelines proposed by .</w:t>
      </w:r>
    </w:p>
    <w:p w14:paraId="66E6D33F" w14:textId="77777777" w:rsidR="00EE5DFE" w:rsidRDefault="00000000">
      <w:pPr>
        <w:pBdr>
          <w:top w:val="nil"/>
          <w:left w:val="nil"/>
          <w:bottom w:val="nil"/>
          <w:right w:val="nil"/>
          <w:between w:val="nil"/>
        </w:pBdr>
        <w:spacing w:before="240" w:after="60" w:line="228" w:lineRule="auto"/>
        <w:ind w:left="2608"/>
        <w:jc w:val="left"/>
        <w:rPr>
          <w:color w:val="000000"/>
          <w:sz w:val="24"/>
          <w:szCs w:val="24"/>
        </w:rPr>
      </w:pPr>
      <w:r>
        <w:rPr>
          <w:color w:val="000000"/>
          <w:sz w:val="24"/>
          <w:szCs w:val="24"/>
        </w:rPr>
        <w:t>4. Results and Discussion</w:t>
      </w:r>
    </w:p>
    <w:p w14:paraId="4043037C" w14:textId="77777777" w:rsidR="00EE5DFE" w:rsidRDefault="00000000">
      <w:pPr>
        <w:pBdr>
          <w:top w:val="nil"/>
          <w:left w:val="nil"/>
          <w:bottom w:val="nil"/>
          <w:right w:val="nil"/>
          <w:between w:val="nil"/>
        </w:pBdr>
        <w:spacing w:line="228" w:lineRule="auto"/>
        <w:ind w:left="2608"/>
        <w:jc w:val="left"/>
        <w:rPr>
          <w:color w:val="000000"/>
        </w:rPr>
      </w:pPr>
      <w:r>
        <w:rPr>
          <w:color w:val="000000"/>
        </w:rPr>
        <w:t>4.1. Descriptive Statistics</w:t>
      </w:r>
    </w:p>
    <w:p w14:paraId="65E97F97" w14:textId="77777777" w:rsidR="00EE5DFE" w:rsidRDefault="00000000">
      <w:pPr>
        <w:pBdr>
          <w:top w:val="nil"/>
          <w:left w:val="nil"/>
          <w:bottom w:val="nil"/>
          <w:right w:val="nil"/>
          <w:between w:val="nil"/>
        </w:pBdr>
        <w:spacing w:line="228" w:lineRule="auto"/>
        <w:ind w:left="2608"/>
        <w:jc w:val="center"/>
        <w:rPr>
          <w:b w:val="0"/>
          <w:bCs w:val="0"/>
          <w:color w:val="000000"/>
          <w:sz w:val="20"/>
          <w:szCs w:val="20"/>
        </w:rPr>
      </w:pPr>
      <w:r>
        <w:rPr>
          <w:color w:val="000000"/>
          <w:sz w:val="20"/>
          <w:szCs w:val="20"/>
        </w:rPr>
        <w:t>Table 1.</w:t>
      </w:r>
      <w:r>
        <w:rPr>
          <w:b w:val="0"/>
          <w:bCs w:val="0"/>
          <w:color w:val="000000"/>
          <w:sz w:val="20"/>
          <w:szCs w:val="20"/>
        </w:rPr>
        <w:t xml:space="preserve"> Descriptive Statistics.</w:t>
      </w:r>
    </w:p>
    <w:tbl>
      <w:tblPr>
        <w:tblStyle w:val="a5"/>
        <w:tblW w:w="7739" w:type="dxa"/>
        <w:tblInd w:w="2608" w:type="dxa"/>
        <w:tblBorders>
          <w:top w:val="single" w:sz="8" w:space="0" w:color="000000"/>
          <w:bottom w:val="single" w:sz="8" w:space="0" w:color="000000"/>
        </w:tblBorders>
        <w:tblLayout w:type="fixed"/>
        <w:tblLook w:val="0400" w:firstRow="0" w:lastRow="0" w:firstColumn="0" w:lastColumn="0" w:noHBand="0" w:noVBand="1"/>
      </w:tblPr>
      <w:tblGrid>
        <w:gridCol w:w="1219"/>
        <w:gridCol w:w="1177"/>
        <w:gridCol w:w="709"/>
        <w:gridCol w:w="759"/>
        <w:gridCol w:w="1324"/>
        <w:gridCol w:w="1417"/>
        <w:gridCol w:w="1134"/>
      </w:tblGrid>
      <w:tr w:rsidR="00EE5DFE" w14:paraId="194F192C" w14:textId="77777777">
        <w:tc>
          <w:tcPr>
            <w:tcW w:w="1220" w:type="dxa"/>
            <w:tcBorders>
              <w:top w:val="single" w:sz="12" w:space="0" w:color="000000"/>
              <w:bottom w:val="single" w:sz="12" w:space="0" w:color="000000"/>
            </w:tcBorders>
            <w:vAlign w:val="center"/>
          </w:tcPr>
          <w:p w14:paraId="49D0B200" w14:textId="77777777" w:rsidR="00EE5DFE" w:rsidRDefault="00EE5DFE">
            <w:pPr>
              <w:pBdr>
                <w:top w:val="nil"/>
                <w:left w:val="nil"/>
                <w:bottom w:val="nil"/>
                <w:right w:val="nil"/>
                <w:between w:val="nil"/>
              </w:pBdr>
              <w:spacing w:before="40" w:after="40"/>
              <w:jc w:val="center"/>
              <w:rPr>
                <w:color w:val="000000"/>
                <w:sz w:val="20"/>
                <w:szCs w:val="20"/>
              </w:rPr>
            </w:pPr>
          </w:p>
        </w:tc>
        <w:tc>
          <w:tcPr>
            <w:tcW w:w="1177" w:type="dxa"/>
            <w:tcBorders>
              <w:top w:val="single" w:sz="12" w:space="0" w:color="000000"/>
              <w:bottom w:val="single" w:sz="12" w:space="0" w:color="000000"/>
            </w:tcBorders>
          </w:tcPr>
          <w:p w14:paraId="66498449"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Mean</w:t>
            </w:r>
          </w:p>
        </w:tc>
        <w:tc>
          <w:tcPr>
            <w:tcW w:w="709" w:type="dxa"/>
            <w:tcBorders>
              <w:top w:val="single" w:sz="12" w:space="0" w:color="000000"/>
              <w:bottom w:val="single" w:sz="12" w:space="0" w:color="000000"/>
            </w:tcBorders>
          </w:tcPr>
          <w:p w14:paraId="2D64E001"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Median</w:t>
            </w:r>
          </w:p>
        </w:tc>
        <w:tc>
          <w:tcPr>
            <w:tcW w:w="759" w:type="dxa"/>
            <w:tcBorders>
              <w:top w:val="single" w:sz="12" w:space="0" w:color="000000"/>
              <w:bottom w:val="single" w:sz="12" w:space="0" w:color="000000"/>
            </w:tcBorders>
          </w:tcPr>
          <w:p w14:paraId="11F24708"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Observed min</w:t>
            </w:r>
          </w:p>
        </w:tc>
        <w:tc>
          <w:tcPr>
            <w:tcW w:w="1324" w:type="dxa"/>
            <w:tcBorders>
              <w:top w:val="single" w:sz="12" w:space="0" w:color="000000"/>
              <w:bottom w:val="single" w:sz="12" w:space="0" w:color="000000"/>
            </w:tcBorders>
          </w:tcPr>
          <w:p w14:paraId="169BA805"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Observed max</w:t>
            </w:r>
          </w:p>
        </w:tc>
        <w:tc>
          <w:tcPr>
            <w:tcW w:w="1417" w:type="dxa"/>
            <w:tcBorders>
              <w:top w:val="single" w:sz="12" w:space="0" w:color="000000"/>
              <w:bottom w:val="single" w:sz="12" w:space="0" w:color="000000"/>
            </w:tcBorders>
          </w:tcPr>
          <w:p w14:paraId="6C897E70"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Number of observations used</w:t>
            </w:r>
          </w:p>
        </w:tc>
        <w:tc>
          <w:tcPr>
            <w:tcW w:w="1134" w:type="dxa"/>
            <w:tcBorders>
              <w:top w:val="single" w:sz="12" w:space="0" w:color="000000"/>
              <w:bottom w:val="single" w:sz="12" w:space="0" w:color="000000"/>
            </w:tcBorders>
          </w:tcPr>
          <w:p w14:paraId="71C4787C"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Standard deviation</w:t>
            </w:r>
          </w:p>
        </w:tc>
      </w:tr>
      <w:tr w:rsidR="00EE5DFE" w14:paraId="6E1E7D3D" w14:textId="77777777">
        <w:tc>
          <w:tcPr>
            <w:tcW w:w="1220" w:type="dxa"/>
            <w:tcBorders>
              <w:top w:val="single" w:sz="12" w:space="0" w:color="000000"/>
              <w:left w:val="nil"/>
              <w:bottom w:val="nil"/>
              <w:right w:val="nil"/>
            </w:tcBorders>
          </w:tcPr>
          <w:p w14:paraId="0A8564A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CIT</w:t>
            </w:r>
          </w:p>
        </w:tc>
        <w:tc>
          <w:tcPr>
            <w:tcW w:w="1177" w:type="dxa"/>
            <w:tcBorders>
              <w:top w:val="single" w:sz="12" w:space="0" w:color="000000"/>
              <w:left w:val="nil"/>
              <w:bottom w:val="nil"/>
              <w:right w:val="nil"/>
            </w:tcBorders>
          </w:tcPr>
          <w:p w14:paraId="3A73594C"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0.23</w:t>
            </w:r>
          </w:p>
        </w:tc>
        <w:tc>
          <w:tcPr>
            <w:tcW w:w="709" w:type="dxa"/>
            <w:tcBorders>
              <w:top w:val="single" w:sz="12" w:space="0" w:color="000000"/>
              <w:left w:val="nil"/>
              <w:bottom w:val="nil"/>
              <w:right w:val="nil"/>
            </w:tcBorders>
          </w:tcPr>
          <w:p w14:paraId="76359165"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0.236</w:t>
            </w:r>
          </w:p>
        </w:tc>
        <w:tc>
          <w:tcPr>
            <w:tcW w:w="759" w:type="dxa"/>
            <w:tcBorders>
              <w:top w:val="single" w:sz="12" w:space="0" w:color="000000"/>
              <w:left w:val="nil"/>
              <w:bottom w:val="nil"/>
              <w:right w:val="nil"/>
            </w:tcBorders>
          </w:tcPr>
          <w:p w14:paraId="0017D944"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0.016</w:t>
            </w:r>
          </w:p>
        </w:tc>
        <w:tc>
          <w:tcPr>
            <w:tcW w:w="1324" w:type="dxa"/>
            <w:tcBorders>
              <w:top w:val="single" w:sz="12" w:space="0" w:color="000000"/>
              <w:left w:val="nil"/>
              <w:bottom w:val="nil"/>
              <w:right w:val="nil"/>
            </w:tcBorders>
          </w:tcPr>
          <w:p w14:paraId="2DF6A5B3"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0.413</w:t>
            </w:r>
          </w:p>
        </w:tc>
        <w:tc>
          <w:tcPr>
            <w:tcW w:w="1417" w:type="dxa"/>
            <w:tcBorders>
              <w:top w:val="single" w:sz="12" w:space="0" w:color="000000"/>
              <w:left w:val="nil"/>
              <w:bottom w:val="nil"/>
              <w:right w:val="nil"/>
            </w:tcBorders>
          </w:tcPr>
          <w:p w14:paraId="6A3F8D02"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64</w:t>
            </w:r>
          </w:p>
        </w:tc>
        <w:tc>
          <w:tcPr>
            <w:tcW w:w="1134" w:type="dxa"/>
            <w:tcBorders>
              <w:top w:val="single" w:sz="12" w:space="0" w:color="000000"/>
              <w:left w:val="nil"/>
              <w:bottom w:val="nil"/>
              <w:right w:val="nil"/>
            </w:tcBorders>
          </w:tcPr>
          <w:p w14:paraId="23116A0F"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0.085</w:t>
            </w:r>
          </w:p>
        </w:tc>
      </w:tr>
      <w:tr w:rsidR="00EE5DFE" w14:paraId="469BA930" w14:textId="77777777">
        <w:tc>
          <w:tcPr>
            <w:tcW w:w="1220" w:type="dxa"/>
            <w:tcBorders>
              <w:top w:val="nil"/>
              <w:left w:val="nil"/>
              <w:bottom w:val="nil"/>
              <w:right w:val="nil"/>
            </w:tcBorders>
          </w:tcPr>
          <w:p w14:paraId="22B78B6B"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 xml:space="preserve">OCFR </w:t>
            </w:r>
          </w:p>
        </w:tc>
        <w:tc>
          <w:tcPr>
            <w:tcW w:w="1177" w:type="dxa"/>
            <w:tcBorders>
              <w:top w:val="nil"/>
              <w:left w:val="nil"/>
              <w:bottom w:val="nil"/>
              <w:right w:val="nil"/>
            </w:tcBorders>
          </w:tcPr>
          <w:p w14:paraId="766C3DE4"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0.664</w:t>
            </w:r>
          </w:p>
        </w:tc>
        <w:tc>
          <w:tcPr>
            <w:tcW w:w="709" w:type="dxa"/>
            <w:tcBorders>
              <w:top w:val="nil"/>
              <w:left w:val="nil"/>
              <w:bottom w:val="nil"/>
              <w:right w:val="nil"/>
            </w:tcBorders>
          </w:tcPr>
          <w:p w14:paraId="318F529C"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0.624</w:t>
            </w:r>
          </w:p>
        </w:tc>
        <w:tc>
          <w:tcPr>
            <w:tcW w:w="759" w:type="dxa"/>
            <w:tcBorders>
              <w:top w:val="nil"/>
              <w:left w:val="nil"/>
              <w:bottom w:val="nil"/>
              <w:right w:val="nil"/>
            </w:tcBorders>
          </w:tcPr>
          <w:p w14:paraId="6260EB0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0.096</w:t>
            </w:r>
          </w:p>
        </w:tc>
        <w:tc>
          <w:tcPr>
            <w:tcW w:w="1324" w:type="dxa"/>
            <w:tcBorders>
              <w:top w:val="nil"/>
              <w:left w:val="nil"/>
              <w:bottom w:val="nil"/>
              <w:right w:val="nil"/>
            </w:tcBorders>
          </w:tcPr>
          <w:p w14:paraId="3B25933C"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1.855</w:t>
            </w:r>
          </w:p>
        </w:tc>
        <w:tc>
          <w:tcPr>
            <w:tcW w:w="1417" w:type="dxa"/>
            <w:tcBorders>
              <w:top w:val="nil"/>
              <w:left w:val="nil"/>
              <w:bottom w:val="nil"/>
              <w:right w:val="nil"/>
            </w:tcBorders>
          </w:tcPr>
          <w:p w14:paraId="2B8E2BE8"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64</w:t>
            </w:r>
          </w:p>
        </w:tc>
        <w:tc>
          <w:tcPr>
            <w:tcW w:w="1134" w:type="dxa"/>
            <w:tcBorders>
              <w:top w:val="nil"/>
              <w:left w:val="nil"/>
              <w:bottom w:val="nil"/>
              <w:right w:val="nil"/>
            </w:tcBorders>
          </w:tcPr>
          <w:p w14:paraId="0837253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0.43</w:t>
            </w:r>
          </w:p>
        </w:tc>
      </w:tr>
      <w:tr w:rsidR="00EE5DFE" w14:paraId="2D15A907" w14:textId="77777777">
        <w:tc>
          <w:tcPr>
            <w:tcW w:w="1220" w:type="dxa"/>
            <w:tcBorders>
              <w:top w:val="nil"/>
              <w:left w:val="nil"/>
              <w:bottom w:val="nil"/>
              <w:right w:val="nil"/>
            </w:tcBorders>
          </w:tcPr>
          <w:p w14:paraId="5CB67A17"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 xml:space="preserve">DER </w:t>
            </w:r>
          </w:p>
        </w:tc>
        <w:tc>
          <w:tcPr>
            <w:tcW w:w="1177" w:type="dxa"/>
            <w:tcBorders>
              <w:top w:val="nil"/>
              <w:left w:val="nil"/>
              <w:bottom w:val="nil"/>
              <w:right w:val="nil"/>
            </w:tcBorders>
          </w:tcPr>
          <w:p w14:paraId="5F76B486"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0.785</w:t>
            </w:r>
          </w:p>
        </w:tc>
        <w:tc>
          <w:tcPr>
            <w:tcW w:w="709" w:type="dxa"/>
            <w:tcBorders>
              <w:top w:val="nil"/>
              <w:left w:val="nil"/>
              <w:bottom w:val="nil"/>
              <w:right w:val="nil"/>
            </w:tcBorders>
          </w:tcPr>
          <w:p w14:paraId="67F84F4B"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0.77</w:t>
            </w:r>
          </w:p>
        </w:tc>
        <w:tc>
          <w:tcPr>
            <w:tcW w:w="759" w:type="dxa"/>
            <w:tcBorders>
              <w:top w:val="nil"/>
              <w:left w:val="nil"/>
              <w:bottom w:val="nil"/>
              <w:right w:val="nil"/>
            </w:tcBorders>
          </w:tcPr>
          <w:p w14:paraId="3C06EF8D"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0.241</w:t>
            </w:r>
          </w:p>
        </w:tc>
        <w:tc>
          <w:tcPr>
            <w:tcW w:w="1324" w:type="dxa"/>
            <w:tcBorders>
              <w:top w:val="nil"/>
              <w:left w:val="nil"/>
              <w:bottom w:val="nil"/>
              <w:right w:val="nil"/>
            </w:tcBorders>
          </w:tcPr>
          <w:p w14:paraId="7120BF00"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1.903</w:t>
            </w:r>
          </w:p>
        </w:tc>
        <w:tc>
          <w:tcPr>
            <w:tcW w:w="1417" w:type="dxa"/>
            <w:tcBorders>
              <w:top w:val="nil"/>
              <w:left w:val="nil"/>
              <w:bottom w:val="nil"/>
              <w:right w:val="nil"/>
            </w:tcBorders>
          </w:tcPr>
          <w:p w14:paraId="104C477B"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64</w:t>
            </w:r>
          </w:p>
        </w:tc>
        <w:tc>
          <w:tcPr>
            <w:tcW w:w="1134" w:type="dxa"/>
            <w:tcBorders>
              <w:top w:val="nil"/>
              <w:left w:val="nil"/>
              <w:bottom w:val="nil"/>
              <w:right w:val="nil"/>
            </w:tcBorders>
          </w:tcPr>
          <w:p w14:paraId="595F037D"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0.389</w:t>
            </w:r>
          </w:p>
        </w:tc>
      </w:tr>
      <w:tr w:rsidR="00EE5DFE" w14:paraId="234856E3" w14:textId="77777777">
        <w:tc>
          <w:tcPr>
            <w:tcW w:w="1220" w:type="dxa"/>
            <w:tcBorders>
              <w:top w:val="nil"/>
              <w:left w:val="nil"/>
              <w:bottom w:val="nil"/>
              <w:right w:val="nil"/>
            </w:tcBorders>
          </w:tcPr>
          <w:p w14:paraId="33024A7C"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NPM</w:t>
            </w:r>
          </w:p>
        </w:tc>
        <w:tc>
          <w:tcPr>
            <w:tcW w:w="1177" w:type="dxa"/>
            <w:tcBorders>
              <w:top w:val="nil"/>
              <w:left w:val="nil"/>
              <w:bottom w:val="nil"/>
              <w:right w:val="nil"/>
            </w:tcBorders>
          </w:tcPr>
          <w:p w14:paraId="79F041D2"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0.106</w:t>
            </w:r>
          </w:p>
        </w:tc>
        <w:tc>
          <w:tcPr>
            <w:tcW w:w="709" w:type="dxa"/>
            <w:tcBorders>
              <w:top w:val="nil"/>
              <w:left w:val="nil"/>
              <w:bottom w:val="nil"/>
              <w:right w:val="nil"/>
            </w:tcBorders>
          </w:tcPr>
          <w:p w14:paraId="111A2022"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0.085</w:t>
            </w:r>
          </w:p>
        </w:tc>
        <w:tc>
          <w:tcPr>
            <w:tcW w:w="759" w:type="dxa"/>
            <w:tcBorders>
              <w:top w:val="nil"/>
              <w:left w:val="nil"/>
              <w:bottom w:val="nil"/>
              <w:right w:val="nil"/>
            </w:tcBorders>
          </w:tcPr>
          <w:p w14:paraId="324F8228"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0.005</w:t>
            </w:r>
          </w:p>
        </w:tc>
        <w:tc>
          <w:tcPr>
            <w:tcW w:w="1324" w:type="dxa"/>
            <w:tcBorders>
              <w:top w:val="nil"/>
              <w:left w:val="nil"/>
              <w:bottom w:val="nil"/>
              <w:right w:val="nil"/>
            </w:tcBorders>
          </w:tcPr>
          <w:p w14:paraId="2F410F26"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0.295</w:t>
            </w:r>
          </w:p>
        </w:tc>
        <w:tc>
          <w:tcPr>
            <w:tcW w:w="1417" w:type="dxa"/>
            <w:tcBorders>
              <w:top w:val="nil"/>
              <w:left w:val="nil"/>
              <w:bottom w:val="nil"/>
              <w:right w:val="nil"/>
            </w:tcBorders>
          </w:tcPr>
          <w:p w14:paraId="6DEEFDBE"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64</w:t>
            </w:r>
          </w:p>
        </w:tc>
        <w:tc>
          <w:tcPr>
            <w:tcW w:w="1134" w:type="dxa"/>
            <w:tcBorders>
              <w:top w:val="nil"/>
              <w:left w:val="nil"/>
              <w:bottom w:val="nil"/>
              <w:right w:val="nil"/>
            </w:tcBorders>
          </w:tcPr>
          <w:p w14:paraId="0489532B"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0.074</w:t>
            </w:r>
          </w:p>
        </w:tc>
      </w:tr>
      <w:tr w:rsidR="00EE5DFE" w14:paraId="4EA9FB09" w14:textId="77777777">
        <w:tc>
          <w:tcPr>
            <w:tcW w:w="1220" w:type="dxa"/>
            <w:tcBorders>
              <w:top w:val="nil"/>
              <w:left w:val="nil"/>
              <w:bottom w:val="single" w:sz="12" w:space="0" w:color="000000"/>
              <w:right w:val="nil"/>
            </w:tcBorders>
          </w:tcPr>
          <w:p w14:paraId="293A1A22"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CR</w:t>
            </w:r>
          </w:p>
        </w:tc>
        <w:tc>
          <w:tcPr>
            <w:tcW w:w="1177" w:type="dxa"/>
            <w:tcBorders>
              <w:top w:val="nil"/>
              <w:left w:val="nil"/>
              <w:bottom w:val="single" w:sz="12" w:space="0" w:color="000000"/>
              <w:right w:val="nil"/>
            </w:tcBorders>
          </w:tcPr>
          <w:p w14:paraId="350951C2"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1.964</w:t>
            </w:r>
          </w:p>
        </w:tc>
        <w:tc>
          <w:tcPr>
            <w:tcW w:w="709" w:type="dxa"/>
            <w:tcBorders>
              <w:top w:val="nil"/>
              <w:left w:val="nil"/>
              <w:bottom w:val="single" w:sz="12" w:space="0" w:color="000000"/>
              <w:right w:val="nil"/>
            </w:tcBorders>
          </w:tcPr>
          <w:p w14:paraId="41925D4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1.832</w:t>
            </w:r>
          </w:p>
        </w:tc>
        <w:tc>
          <w:tcPr>
            <w:tcW w:w="759" w:type="dxa"/>
            <w:tcBorders>
              <w:top w:val="nil"/>
              <w:left w:val="nil"/>
              <w:bottom w:val="single" w:sz="12" w:space="0" w:color="000000"/>
              <w:right w:val="nil"/>
            </w:tcBorders>
          </w:tcPr>
          <w:p w14:paraId="2711A33F"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0.702</w:t>
            </w:r>
          </w:p>
        </w:tc>
        <w:tc>
          <w:tcPr>
            <w:tcW w:w="1324" w:type="dxa"/>
            <w:tcBorders>
              <w:top w:val="nil"/>
              <w:left w:val="nil"/>
              <w:bottom w:val="single" w:sz="12" w:space="0" w:color="000000"/>
              <w:right w:val="nil"/>
            </w:tcBorders>
          </w:tcPr>
          <w:p w14:paraId="6AB066AD"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4.892</w:t>
            </w:r>
          </w:p>
        </w:tc>
        <w:tc>
          <w:tcPr>
            <w:tcW w:w="1417" w:type="dxa"/>
            <w:tcBorders>
              <w:top w:val="nil"/>
              <w:left w:val="nil"/>
              <w:bottom w:val="single" w:sz="12" w:space="0" w:color="000000"/>
              <w:right w:val="nil"/>
            </w:tcBorders>
          </w:tcPr>
          <w:p w14:paraId="0C5FDCEF"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64</w:t>
            </w:r>
          </w:p>
        </w:tc>
        <w:tc>
          <w:tcPr>
            <w:tcW w:w="1134" w:type="dxa"/>
            <w:tcBorders>
              <w:top w:val="nil"/>
              <w:left w:val="nil"/>
              <w:bottom w:val="single" w:sz="12" w:space="0" w:color="000000"/>
              <w:right w:val="nil"/>
            </w:tcBorders>
          </w:tcPr>
          <w:p w14:paraId="54AB6762"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1.083</w:t>
            </w:r>
          </w:p>
        </w:tc>
      </w:tr>
    </w:tbl>
    <w:p w14:paraId="6A105957" w14:textId="77777777" w:rsidR="00EE5DFE" w:rsidRDefault="00000000">
      <w:pPr>
        <w:pBdr>
          <w:top w:val="nil"/>
          <w:left w:val="nil"/>
          <w:bottom w:val="nil"/>
          <w:right w:val="nil"/>
          <w:between w:val="nil"/>
        </w:pBdr>
        <w:spacing w:line="228" w:lineRule="auto"/>
        <w:ind w:left="2608" w:firstLine="425"/>
        <w:rPr>
          <w:b w:val="0"/>
          <w:bCs w:val="0"/>
          <w:color w:val="000000"/>
          <w:sz w:val="20"/>
          <w:szCs w:val="20"/>
        </w:rPr>
      </w:pPr>
      <w:r>
        <w:rPr>
          <w:b w:val="0"/>
          <w:bCs w:val="0"/>
          <w:color w:val="000000"/>
          <w:sz w:val="20"/>
          <w:szCs w:val="20"/>
        </w:rPr>
        <w:t>Source: Processed Data (2025)</w:t>
      </w:r>
    </w:p>
    <w:p w14:paraId="10404CFA" w14:textId="77777777" w:rsidR="00EE5DFE" w:rsidRDefault="00EE5DFE">
      <w:pPr>
        <w:pBdr>
          <w:top w:val="nil"/>
          <w:left w:val="nil"/>
          <w:bottom w:val="nil"/>
          <w:right w:val="nil"/>
          <w:between w:val="nil"/>
        </w:pBdr>
        <w:spacing w:line="228" w:lineRule="auto"/>
        <w:ind w:left="2608" w:firstLine="425"/>
        <w:rPr>
          <w:b w:val="0"/>
          <w:bCs w:val="0"/>
          <w:color w:val="000000"/>
        </w:rPr>
      </w:pPr>
    </w:p>
    <w:p w14:paraId="0DD5DBA7"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Based on the descriptive statistical results presented in Table 1, Corporate Income Tax (CIT) among consumer non-cyclical companies during the 2021–2024 period ranges from 0.016 to 0.413, with an average value of 0.23 and a standard deviation of 0.085. The relatively low standard deviation indicates limited variability in corporate income tax across firms, suggesting that differences in tax obligations among companies are relatively homogeneous. The minimum value was recorded by Sumber Alfaria Trijaya Tbk, while the maximum value was observed for Salim Ivomas Pratama Tbk in 2021.</w:t>
      </w:r>
    </w:p>
    <w:p w14:paraId="60585E6C"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Operating Cash Flow (OCF) has a mean value of 0.664 with a standard deviation of 0.43, indicating considerable variation in firms’ ability to generate cash from operating activities within the sample. The OCF values range from 0.096 to 1.855, suggesting that certain firms generate substantially higher operating cash flows than others. The lowest value was recorded by Uni-Charm Indonesia Tbk, while the highest value was achieved by Japfa Comfeed Indonesia Tbk.</w:t>
      </w:r>
    </w:p>
    <w:p w14:paraId="392B3D63"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Leverage, proxied by the Debt to Equity Ratio (DER), has an average value of 0.785 with a range of 0.241 to 1.903, indicating significant differences in firms’ reliance on debt financing. This variation reflects heterogeneous financing strategies across companies. The lowest DER value was observed at Astra Agro Lestari Tbk, while the highest was recorded by Sumber Alfaria Trijaya Tbk.</w:t>
      </w:r>
    </w:p>
    <w:p w14:paraId="4ADEC4DF"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 xml:space="preserve">Profitability, measured using Net Profit Margin (NPM), has an average value of 0.106, indicating relatively low profit margins, which is consistent with the characteristics of the consumer non-cyclical sector that tends to exhibit stable but moderate margins. The </w:t>
      </w:r>
      <w:r>
        <w:rPr>
          <w:b w:val="0"/>
          <w:bCs w:val="0"/>
          <w:color w:val="000000"/>
        </w:rPr>
        <w:lastRenderedPageBreak/>
        <w:t>minimum NPM value (0.005) was recorded by Uni-Charm Indonesia Tbk, while the maximum value (0.295) was achieved by Delta Djakarta Tbk in 2022.</w:t>
      </w:r>
    </w:p>
    <w:p w14:paraId="5F338AE8"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Liquidity, proxied by the Current Ratio (CR), has an average value of 1.964 with a relatively high standard deviation of 1.083, indicating substantial differences in firms’ ability to meet short-term obligations. The lowest CR value of 0.702 was recorded by Garudafood Putra Putri Jaya Tbk, while the highest value of 4.892 was observed for Delta Djakarta Tbk in 2023.</w:t>
      </w:r>
    </w:p>
    <w:p w14:paraId="5764D5B3"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Overall, the descriptive statistics indicate considerable variation in financial performance across the sampled firms, particularly in variables related to operating activities and short-term liquidity. This variation reflects differences in operational conditions, capital structures, profit efficiency, and liquidity management among consumer non-cyclical companies listed on the Indonesia Stock Exchange during the 2021–2024 period.</w:t>
      </w:r>
    </w:p>
    <w:p w14:paraId="526711B0"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4.2. Multicollinearity</w:t>
      </w:r>
    </w:p>
    <w:p w14:paraId="571E68B9" w14:textId="77777777" w:rsidR="00EE5DFE" w:rsidRDefault="00000000">
      <w:pPr>
        <w:pBdr>
          <w:top w:val="nil"/>
          <w:left w:val="nil"/>
          <w:bottom w:val="nil"/>
          <w:right w:val="nil"/>
          <w:between w:val="nil"/>
        </w:pBdr>
        <w:spacing w:line="228" w:lineRule="auto"/>
        <w:ind w:left="2608"/>
        <w:jc w:val="center"/>
        <w:rPr>
          <w:b w:val="0"/>
          <w:bCs w:val="0"/>
          <w:color w:val="000000"/>
        </w:rPr>
      </w:pPr>
      <w:r>
        <w:rPr>
          <w:color w:val="000000"/>
        </w:rPr>
        <w:t>Table 2.</w:t>
      </w:r>
      <w:r>
        <w:rPr>
          <w:b w:val="0"/>
          <w:bCs w:val="0"/>
          <w:color w:val="000000"/>
        </w:rPr>
        <w:t xml:space="preserve"> Variance Inflation Factor (VIF).</w:t>
      </w:r>
    </w:p>
    <w:tbl>
      <w:tblPr>
        <w:tblStyle w:val="a6"/>
        <w:tblW w:w="2397" w:type="dxa"/>
        <w:tblInd w:w="5229" w:type="dxa"/>
        <w:tblBorders>
          <w:top w:val="single" w:sz="8" w:space="0" w:color="000000"/>
          <w:bottom w:val="single" w:sz="8" w:space="0" w:color="000000"/>
        </w:tblBorders>
        <w:tblLayout w:type="fixed"/>
        <w:tblLook w:val="0400" w:firstRow="0" w:lastRow="0" w:firstColumn="0" w:lastColumn="0" w:noHBand="0" w:noVBand="1"/>
      </w:tblPr>
      <w:tblGrid>
        <w:gridCol w:w="1220"/>
        <w:gridCol w:w="1177"/>
      </w:tblGrid>
      <w:tr w:rsidR="00EE5DFE" w14:paraId="29D5DAC3" w14:textId="77777777">
        <w:tc>
          <w:tcPr>
            <w:tcW w:w="1220" w:type="dxa"/>
            <w:tcBorders>
              <w:top w:val="single" w:sz="12" w:space="0" w:color="000000"/>
              <w:bottom w:val="single" w:sz="12" w:space="0" w:color="000000"/>
            </w:tcBorders>
          </w:tcPr>
          <w:p w14:paraId="44A46E9A" w14:textId="77777777" w:rsidR="00EE5DFE" w:rsidRDefault="00EE5DFE">
            <w:pPr>
              <w:pBdr>
                <w:top w:val="nil"/>
                <w:left w:val="nil"/>
                <w:bottom w:val="nil"/>
                <w:right w:val="nil"/>
                <w:between w:val="nil"/>
              </w:pBdr>
              <w:spacing w:before="40" w:after="40"/>
              <w:jc w:val="center"/>
              <w:rPr>
                <w:color w:val="000000"/>
                <w:sz w:val="20"/>
                <w:szCs w:val="20"/>
              </w:rPr>
            </w:pPr>
          </w:p>
        </w:tc>
        <w:tc>
          <w:tcPr>
            <w:tcW w:w="1177" w:type="dxa"/>
            <w:tcBorders>
              <w:top w:val="single" w:sz="12" w:space="0" w:color="000000"/>
              <w:bottom w:val="single" w:sz="12" w:space="0" w:color="000000"/>
            </w:tcBorders>
          </w:tcPr>
          <w:p w14:paraId="7333EB46"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VIF</w:t>
            </w:r>
          </w:p>
        </w:tc>
      </w:tr>
      <w:tr w:rsidR="00EE5DFE" w14:paraId="3758197A" w14:textId="77777777">
        <w:tc>
          <w:tcPr>
            <w:tcW w:w="1220" w:type="dxa"/>
            <w:tcBorders>
              <w:top w:val="single" w:sz="12" w:space="0" w:color="000000"/>
              <w:left w:val="nil"/>
              <w:bottom w:val="nil"/>
              <w:right w:val="nil"/>
            </w:tcBorders>
          </w:tcPr>
          <w:p w14:paraId="0C3627E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OCFR</w:t>
            </w:r>
          </w:p>
        </w:tc>
        <w:tc>
          <w:tcPr>
            <w:tcW w:w="1177" w:type="dxa"/>
            <w:tcBorders>
              <w:top w:val="single" w:sz="12" w:space="0" w:color="000000"/>
              <w:left w:val="nil"/>
              <w:bottom w:val="nil"/>
              <w:right w:val="nil"/>
            </w:tcBorders>
          </w:tcPr>
          <w:p w14:paraId="14A5CA8C"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1.472</w:t>
            </w:r>
          </w:p>
        </w:tc>
      </w:tr>
      <w:tr w:rsidR="00EE5DFE" w14:paraId="48E8F604" w14:textId="77777777">
        <w:tc>
          <w:tcPr>
            <w:tcW w:w="1220" w:type="dxa"/>
            <w:tcBorders>
              <w:top w:val="nil"/>
              <w:left w:val="nil"/>
              <w:bottom w:val="nil"/>
              <w:right w:val="nil"/>
            </w:tcBorders>
          </w:tcPr>
          <w:p w14:paraId="49D63523"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 xml:space="preserve">DER </w:t>
            </w:r>
          </w:p>
        </w:tc>
        <w:tc>
          <w:tcPr>
            <w:tcW w:w="1177" w:type="dxa"/>
            <w:tcBorders>
              <w:top w:val="nil"/>
              <w:left w:val="nil"/>
              <w:bottom w:val="nil"/>
              <w:right w:val="nil"/>
            </w:tcBorders>
          </w:tcPr>
          <w:p w14:paraId="39C1550F"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1.233</w:t>
            </w:r>
          </w:p>
        </w:tc>
      </w:tr>
      <w:tr w:rsidR="00EE5DFE" w14:paraId="4D44137D" w14:textId="77777777">
        <w:tc>
          <w:tcPr>
            <w:tcW w:w="1220" w:type="dxa"/>
            <w:tcBorders>
              <w:top w:val="nil"/>
              <w:left w:val="nil"/>
              <w:bottom w:val="nil"/>
              <w:right w:val="nil"/>
            </w:tcBorders>
          </w:tcPr>
          <w:p w14:paraId="2C32E1EE"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NPM</w:t>
            </w:r>
          </w:p>
        </w:tc>
        <w:tc>
          <w:tcPr>
            <w:tcW w:w="1177" w:type="dxa"/>
            <w:tcBorders>
              <w:top w:val="nil"/>
              <w:left w:val="nil"/>
              <w:bottom w:val="nil"/>
              <w:right w:val="nil"/>
            </w:tcBorders>
          </w:tcPr>
          <w:p w14:paraId="37121F35"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1.647</w:t>
            </w:r>
          </w:p>
        </w:tc>
      </w:tr>
      <w:tr w:rsidR="00EE5DFE" w14:paraId="2EC2D0AB" w14:textId="77777777">
        <w:tc>
          <w:tcPr>
            <w:tcW w:w="1220" w:type="dxa"/>
            <w:tcBorders>
              <w:top w:val="nil"/>
              <w:left w:val="nil"/>
              <w:bottom w:val="single" w:sz="12" w:space="0" w:color="000000"/>
              <w:right w:val="nil"/>
            </w:tcBorders>
          </w:tcPr>
          <w:p w14:paraId="47AC7714"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CR</w:t>
            </w:r>
          </w:p>
        </w:tc>
        <w:tc>
          <w:tcPr>
            <w:tcW w:w="1177" w:type="dxa"/>
            <w:tcBorders>
              <w:top w:val="nil"/>
              <w:left w:val="nil"/>
              <w:bottom w:val="single" w:sz="12" w:space="0" w:color="000000"/>
              <w:right w:val="nil"/>
            </w:tcBorders>
          </w:tcPr>
          <w:p w14:paraId="3E611DD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1.432</w:t>
            </w:r>
          </w:p>
        </w:tc>
      </w:tr>
    </w:tbl>
    <w:p w14:paraId="02CC0ADD" w14:textId="7777777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b w:val="0"/>
          <w:bCs w:val="0"/>
          <w:color w:val="000000"/>
          <w:sz w:val="20"/>
          <w:szCs w:val="20"/>
        </w:rPr>
        <w:t>Source: Processed Data (2025)</w:t>
      </w:r>
    </w:p>
    <w:p w14:paraId="68C9727C" w14:textId="77777777" w:rsidR="00EE5DFE" w:rsidRDefault="00EE5DFE">
      <w:pPr>
        <w:pBdr>
          <w:top w:val="nil"/>
          <w:left w:val="nil"/>
          <w:bottom w:val="nil"/>
          <w:right w:val="nil"/>
          <w:between w:val="nil"/>
        </w:pBdr>
        <w:spacing w:line="228" w:lineRule="auto"/>
        <w:ind w:left="2608" w:firstLine="425"/>
        <w:rPr>
          <w:b w:val="0"/>
          <w:bCs w:val="0"/>
          <w:color w:val="000000"/>
        </w:rPr>
      </w:pPr>
    </w:p>
    <w:p w14:paraId="1339F3B7"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multicollinearity test results presented in Table 2 show that the VIF values for all independent variables range between 1.233 and 1.647. These values are well below the commonly accepted threshold of 5, indicating that multicollinearity is not a concern in the model. Therefore, all independent variables can be included simultaneously without causing distortion in estimating their effects on the dependent variable.</w:t>
      </w:r>
    </w:p>
    <w:p w14:paraId="314776D8"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4.3. Coefficient of Determination (R²)</w:t>
      </w:r>
    </w:p>
    <w:p w14:paraId="1DA6FB43" w14:textId="77777777" w:rsidR="00EE5DFE" w:rsidRDefault="00000000">
      <w:pPr>
        <w:pBdr>
          <w:top w:val="nil"/>
          <w:left w:val="nil"/>
          <w:bottom w:val="nil"/>
          <w:right w:val="nil"/>
          <w:between w:val="nil"/>
        </w:pBdr>
        <w:spacing w:line="228" w:lineRule="auto"/>
        <w:ind w:left="2608"/>
        <w:jc w:val="center"/>
        <w:rPr>
          <w:b w:val="0"/>
          <w:bCs w:val="0"/>
          <w:color w:val="000000"/>
        </w:rPr>
      </w:pPr>
      <w:r>
        <w:rPr>
          <w:color w:val="000000"/>
        </w:rPr>
        <w:t>Table 3.</w:t>
      </w:r>
      <w:r>
        <w:rPr>
          <w:b w:val="0"/>
          <w:bCs w:val="0"/>
          <w:color w:val="000000"/>
        </w:rPr>
        <w:t xml:space="preserve"> Coefficient of Determination (R²).</w:t>
      </w:r>
    </w:p>
    <w:tbl>
      <w:tblPr>
        <w:tblStyle w:val="a7"/>
        <w:tblW w:w="3106" w:type="dxa"/>
        <w:tblInd w:w="5026" w:type="dxa"/>
        <w:tblBorders>
          <w:top w:val="single" w:sz="8" w:space="0" w:color="000000"/>
          <w:bottom w:val="single" w:sz="8" w:space="0" w:color="000000"/>
        </w:tblBorders>
        <w:tblLayout w:type="fixed"/>
        <w:tblLook w:val="0400" w:firstRow="0" w:lastRow="0" w:firstColumn="0" w:lastColumn="0" w:noHBand="0" w:noVBand="1"/>
      </w:tblPr>
      <w:tblGrid>
        <w:gridCol w:w="1220"/>
        <w:gridCol w:w="1177"/>
        <w:gridCol w:w="709"/>
      </w:tblGrid>
      <w:tr w:rsidR="00EE5DFE" w14:paraId="104799FD" w14:textId="77777777">
        <w:tc>
          <w:tcPr>
            <w:tcW w:w="1220" w:type="dxa"/>
            <w:tcBorders>
              <w:top w:val="single" w:sz="12" w:space="0" w:color="000000"/>
              <w:bottom w:val="single" w:sz="12" w:space="0" w:color="000000"/>
            </w:tcBorders>
          </w:tcPr>
          <w:p w14:paraId="2A01F50F" w14:textId="77777777" w:rsidR="00EE5DFE" w:rsidRDefault="00EE5DFE">
            <w:pPr>
              <w:pBdr>
                <w:top w:val="nil"/>
                <w:left w:val="nil"/>
                <w:bottom w:val="nil"/>
                <w:right w:val="nil"/>
                <w:between w:val="nil"/>
              </w:pBdr>
              <w:spacing w:before="40" w:after="40"/>
              <w:jc w:val="center"/>
              <w:rPr>
                <w:color w:val="000000"/>
                <w:sz w:val="20"/>
                <w:szCs w:val="20"/>
              </w:rPr>
            </w:pPr>
          </w:p>
        </w:tc>
        <w:tc>
          <w:tcPr>
            <w:tcW w:w="1177" w:type="dxa"/>
            <w:tcBorders>
              <w:top w:val="single" w:sz="12" w:space="0" w:color="000000"/>
              <w:bottom w:val="single" w:sz="12" w:space="0" w:color="000000"/>
            </w:tcBorders>
          </w:tcPr>
          <w:p w14:paraId="28231160"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R-square</w:t>
            </w:r>
          </w:p>
        </w:tc>
        <w:tc>
          <w:tcPr>
            <w:tcW w:w="709" w:type="dxa"/>
            <w:tcBorders>
              <w:top w:val="single" w:sz="12" w:space="0" w:color="000000"/>
              <w:bottom w:val="single" w:sz="12" w:space="0" w:color="000000"/>
            </w:tcBorders>
          </w:tcPr>
          <w:p w14:paraId="645E49F1"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R-square adjusted</w:t>
            </w:r>
          </w:p>
        </w:tc>
      </w:tr>
      <w:tr w:rsidR="00EE5DFE" w14:paraId="06696718" w14:textId="77777777">
        <w:tc>
          <w:tcPr>
            <w:tcW w:w="1220" w:type="dxa"/>
            <w:tcBorders>
              <w:top w:val="nil"/>
              <w:left w:val="nil"/>
              <w:bottom w:val="single" w:sz="12" w:space="0" w:color="000000"/>
              <w:right w:val="nil"/>
            </w:tcBorders>
          </w:tcPr>
          <w:p w14:paraId="25EB46EB"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 xml:space="preserve">CIT  </w:t>
            </w:r>
          </w:p>
        </w:tc>
        <w:tc>
          <w:tcPr>
            <w:tcW w:w="1177" w:type="dxa"/>
            <w:tcBorders>
              <w:top w:val="nil"/>
              <w:left w:val="nil"/>
              <w:bottom w:val="single" w:sz="12" w:space="0" w:color="000000"/>
              <w:right w:val="nil"/>
            </w:tcBorders>
          </w:tcPr>
          <w:p w14:paraId="4E0C6E33"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0,17</w:t>
            </w:r>
          </w:p>
        </w:tc>
        <w:tc>
          <w:tcPr>
            <w:tcW w:w="709" w:type="dxa"/>
            <w:tcBorders>
              <w:top w:val="nil"/>
              <w:left w:val="nil"/>
              <w:bottom w:val="single" w:sz="12" w:space="0" w:color="000000"/>
              <w:right w:val="nil"/>
            </w:tcBorders>
          </w:tcPr>
          <w:p w14:paraId="4DEC89A5"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0,114</w:t>
            </w:r>
          </w:p>
        </w:tc>
      </w:tr>
    </w:tbl>
    <w:p w14:paraId="14A4C9A1" w14:textId="7777777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b w:val="0"/>
          <w:bCs w:val="0"/>
          <w:color w:val="000000"/>
          <w:sz w:val="20"/>
          <w:szCs w:val="20"/>
        </w:rPr>
        <w:t>Source: Processed Data (2025)</w:t>
      </w:r>
    </w:p>
    <w:p w14:paraId="10D7EB06" w14:textId="77777777" w:rsidR="00EE5DFE" w:rsidRDefault="00EE5DFE">
      <w:pPr>
        <w:pBdr>
          <w:top w:val="nil"/>
          <w:left w:val="nil"/>
          <w:bottom w:val="nil"/>
          <w:right w:val="nil"/>
          <w:between w:val="nil"/>
        </w:pBdr>
        <w:spacing w:line="228" w:lineRule="auto"/>
        <w:ind w:left="2608" w:firstLine="425"/>
        <w:rPr>
          <w:b w:val="0"/>
          <w:bCs w:val="0"/>
          <w:color w:val="000000"/>
        </w:rPr>
      </w:pPr>
    </w:p>
    <w:p w14:paraId="46600E3C"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coefficient of determination test indicates an R-square value of 0.17, meaning that operating cash flow, leverage, profitability, and liquidity collectively explain 17% of the variation in Corporate Income Tax. An R-square value below 0.25 reflects weak predictive accuracy (Hair et al., 2016), which is common in financial research involving cross-company data, given that corporate taxation is influenced by numerous internal and external factors. Nevertheless, this result suggests that the research model captures several relevant determinants of Corporate Income Tax while also highlighting opportunities for further exploration of additional explanatory variables.</w:t>
      </w:r>
    </w:p>
    <w:p w14:paraId="6E0EF174"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4.4. Effect Size (f²)</w:t>
      </w:r>
    </w:p>
    <w:p w14:paraId="4E51F14A" w14:textId="77777777" w:rsidR="00EE5DFE" w:rsidRDefault="00000000">
      <w:pPr>
        <w:pBdr>
          <w:top w:val="nil"/>
          <w:left w:val="nil"/>
          <w:bottom w:val="nil"/>
          <w:right w:val="nil"/>
          <w:between w:val="nil"/>
        </w:pBdr>
        <w:spacing w:line="228" w:lineRule="auto"/>
        <w:ind w:left="2608"/>
        <w:jc w:val="center"/>
        <w:rPr>
          <w:b w:val="0"/>
          <w:bCs w:val="0"/>
          <w:color w:val="000000"/>
        </w:rPr>
      </w:pPr>
      <w:r>
        <w:rPr>
          <w:color w:val="000000"/>
        </w:rPr>
        <w:t>Table 4.</w:t>
      </w:r>
      <w:r>
        <w:rPr>
          <w:b w:val="0"/>
          <w:bCs w:val="0"/>
          <w:color w:val="000000"/>
        </w:rPr>
        <w:t xml:space="preserve"> Effect Size (f²).</w:t>
      </w:r>
    </w:p>
    <w:tbl>
      <w:tblPr>
        <w:tblStyle w:val="a8"/>
        <w:tblW w:w="2397" w:type="dxa"/>
        <w:tblInd w:w="5474" w:type="dxa"/>
        <w:tblBorders>
          <w:top w:val="single" w:sz="8" w:space="0" w:color="000000"/>
          <w:bottom w:val="single" w:sz="8" w:space="0" w:color="000000"/>
        </w:tblBorders>
        <w:tblLayout w:type="fixed"/>
        <w:tblLook w:val="0400" w:firstRow="0" w:lastRow="0" w:firstColumn="0" w:lastColumn="0" w:noHBand="0" w:noVBand="1"/>
      </w:tblPr>
      <w:tblGrid>
        <w:gridCol w:w="1220"/>
        <w:gridCol w:w="1177"/>
      </w:tblGrid>
      <w:tr w:rsidR="00EE5DFE" w14:paraId="0A52377C" w14:textId="77777777">
        <w:tc>
          <w:tcPr>
            <w:tcW w:w="1220" w:type="dxa"/>
            <w:tcBorders>
              <w:top w:val="single" w:sz="12" w:space="0" w:color="000000"/>
              <w:bottom w:val="single" w:sz="12" w:space="0" w:color="000000"/>
            </w:tcBorders>
          </w:tcPr>
          <w:p w14:paraId="38A2915B" w14:textId="77777777" w:rsidR="00EE5DFE" w:rsidRDefault="00EE5DFE">
            <w:pPr>
              <w:pBdr>
                <w:top w:val="nil"/>
                <w:left w:val="nil"/>
                <w:bottom w:val="nil"/>
                <w:right w:val="nil"/>
                <w:between w:val="nil"/>
              </w:pBdr>
              <w:spacing w:before="40" w:after="40"/>
              <w:jc w:val="center"/>
              <w:rPr>
                <w:color w:val="000000"/>
                <w:sz w:val="20"/>
                <w:szCs w:val="20"/>
              </w:rPr>
            </w:pPr>
          </w:p>
        </w:tc>
        <w:tc>
          <w:tcPr>
            <w:tcW w:w="1177" w:type="dxa"/>
            <w:tcBorders>
              <w:top w:val="single" w:sz="12" w:space="0" w:color="000000"/>
              <w:bottom w:val="single" w:sz="12" w:space="0" w:color="000000"/>
            </w:tcBorders>
          </w:tcPr>
          <w:p w14:paraId="4FAF11FF"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Corporate Income Tax</w:t>
            </w:r>
          </w:p>
        </w:tc>
      </w:tr>
      <w:tr w:rsidR="00EE5DFE" w14:paraId="2584AEC3" w14:textId="77777777">
        <w:tc>
          <w:tcPr>
            <w:tcW w:w="1220" w:type="dxa"/>
            <w:tcBorders>
              <w:top w:val="single" w:sz="12" w:space="0" w:color="000000"/>
              <w:left w:val="nil"/>
              <w:bottom w:val="nil"/>
              <w:right w:val="nil"/>
            </w:tcBorders>
          </w:tcPr>
          <w:p w14:paraId="0F274D57"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 xml:space="preserve">AKO </w:t>
            </w:r>
          </w:p>
        </w:tc>
        <w:tc>
          <w:tcPr>
            <w:tcW w:w="1177" w:type="dxa"/>
            <w:tcBorders>
              <w:top w:val="single" w:sz="12" w:space="0" w:color="000000"/>
              <w:left w:val="nil"/>
              <w:bottom w:val="nil"/>
              <w:right w:val="nil"/>
            </w:tcBorders>
          </w:tcPr>
          <w:p w14:paraId="71CECC68"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0.045</w:t>
            </w:r>
          </w:p>
        </w:tc>
      </w:tr>
      <w:tr w:rsidR="00EE5DFE" w14:paraId="31B41CF4" w14:textId="77777777">
        <w:tc>
          <w:tcPr>
            <w:tcW w:w="1220" w:type="dxa"/>
            <w:tcBorders>
              <w:top w:val="nil"/>
              <w:left w:val="nil"/>
              <w:bottom w:val="nil"/>
              <w:right w:val="nil"/>
            </w:tcBorders>
          </w:tcPr>
          <w:p w14:paraId="6E3147C7"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 xml:space="preserve">DER </w:t>
            </w:r>
          </w:p>
        </w:tc>
        <w:tc>
          <w:tcPr>
            <w:tcW w:w="1177" w:type="dxa"/>
            <w:tcBorders>
              <w:top w:val="nil"/>
              <w:left w:val="nil"/>
              <w:bottom w:val="nil"/>
              <w:right w:val="nil"/>
            </w:tcBorders>
          </w:tcPr>
          <w:p w14:paraId="739B8E6F"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0.18</w:t>
            </w:r>
          </w:p>
        </w:tc>
      </w:tr>
      <w:tr w:rsidR="00EE5DFE" w14:paraId="36B3ED83" w14:textId="77777777">
        <w:tc>
          <w:tcPr>
            <w:tcW w:w="1220" w:type="dxa"/>
            <w:tcBorders>
              <w:top w:val="nil"/>
              <w:left w:val="nil"/>
              <w:bottom w:val="single" w:sz="12" w:space="0" w:color="000000"/>
              <w:right w:val="nil"/>
            </w:tcBorders>
          </w:tcPr>
          <w:p w14:paraId="65C79461"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NPM</w:t>
            </w:r>
          </w:p>
        </w:tc>
        <w:tc>
          <w:tcPr>
            <w:tcW w:w="1177" w:type="dxa"/>
            <w:tcBorders>
              <w:top w:val="nil"/>
              <w:left w:val="nil"/>
              <w:bottom w:val="single" w:sz="12" w:space="0" w:color="000000"/>
              <w:right w:val="nil"/>
            </w:tcBorders>
          </w:tcPr>
          <w:p w14:paraId="349441FA"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0.009</w:t>
            </w:r>
          </w:p>
        </w:tc>
      </w:tr>
    </w:tbl>
    <w:p w14:paraId="2FAB7E54" w14:textId="7777777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b w:val="0"/>
          <w:bCs w:val="0"/>
          <w:color w:val="000000"/>
          <w:sz w:val="20"/>
          <w:szCs w:val="20"/>
        </w:rPr>
        <w:t>Source: Processed Data (2025)</w:t>
      </w:r>
    </w:p>
    <w:p w14:paraId="611A17C8" w14:textId="77777777" w:rsidR="00EE5DFE" w:rsidRDefault="00EE5DFE">
      <w:pPr>
        <w:pBdr>
          <w:top w:val="nil"/>
          <w:left w:val="nil"/>
          <w:bottom w:val="nil"/>
          <w:right w:val="nil"/>
          <w:between w:val="nil"/>
        </w:pBdr>
        <w:spacing w:line="228" w:lineRule="auto"/>
        <w:ind w:left="2608" w:firstLine="425"/>
        <w:rPr>
          <w:b w:val="0"/>
          <w:bCs w:val="0"/>
          <w:color w:val="000000"/>
        </w:rPr>
      </w:pPr>
    </w:p>
    <w:p w14:paraId="410F477F"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 xml:space="preserve">The f-square test results show that leverage (f² = 0.18) has a moderate effect on Corporate Income Tax, indicating a relatively strong contribution to the model. Operating </w:t>
      </w:r>
      <w:r>
        <w:rPr>
          <w:b w:val="0"/>
          <w:bCs w:val="0"/>
          <w:color w:val="000000"/>
        </w:rPr>
        <w:lastRenderedPageBreak/>
        <w:t>Cash Flow (f² = 0.045) and Liquidity (f² = 0.023) exhibit small effect sizes. Profitability has the lowest f² value (0.009), suggesting that its contribution to improving the predictive power of Corporate Income Tax is negligible during the observation period..</w:t>
      </w:r>
    </w:p>
    <w:p w14:paraId="0236A5F0"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4.5. Predictive Relevance (Q² Predict)</w:t>
      </w:r>
    </w:p>
    <w:p w14:paraId="058890A7" w14:textId="77777777" w:rsidR="00EE5DFE" w:rsidRDefault="00000000">
      <w:pPr>
        <w:pBdr>
          <w:top w:val="nil"/>
          <w:left w:val="nil"/>
          <w:bottom w:val="nil"/>
          <w:right w:val="nil"/>
          <w:between w:val="nil"/>
        </w:pBdr>
        <w:spacing w:line="228" w:lineRule="auto"/>
        <w:ind w:left="2608"/>
        <w:jc w:val="center"/>
        <w:rPr>
          <w:b w:val="0"/>
          <w:bCs w:val="0"/>
          <w:color w:val="000000"/>
        </w:rPr>
      </w:pPr>
      <w:r>
        <w:rPr>
          <w:color w:val="000000"/>
        </w:rPr>
        <w:t>Table 5.</w:t>
      </w:r>
      <w:r>
        <w:rPr>
          <w:b w:val="0"/>
          <w:bCs w:val="0"/>
          <w:color w:val="000000"/>
        </w:rPr>
        <w:t xml:space="preserve"> Q² Predict Result.</w:t>
      </w:r>
    </w:p>
    <w:tbl>
      <w:tblPr>
        <w:tblStyle w:val="a9"/>
        <w:tblW w:w="2983" w:type="dxa"/>
        <w:tblInd w:w="5230" w:type="dxa"/>
        <w:tblBorders>
          <w:top w:val="single" w:sz="8" w:space="0" w:color="000000"/>
          <w:bottom w:val="single" w:sz="8" w:space="0" w:color="000000"/>
        </w:tblBorders>
        <w:tblLayout w:type="fixed"/>
        <w:tblLook w:val="0400" w:firstRow="0" w:lastRow="0" w:firstColumn="0" w:lastColumn="0" w:noHBand="0" w:noVBand="1"/>
      </w:tblPr>
      <w:tblGrid>
        <w:gridCol w:w="1806"/>
        <w:gridCol w:w="1177"/>
      </w:tblGrid>
      <w:tr w:rsidR="00EE5DFE" w14:paraId="0F332467" w14:textId="77777777">
        <w:tc>
          <w:tcPr>
            <w:tcW w:w="1806" w:type="dxa"/>
            <w:tcBorders>
              <w:top w:val="single" w:sz="12" w:space="0" w:color="000000"/>
              <w:bottom w:val="single" w:sz="12" w:space="0" w:color="000000"/>
            </w:tcBorders>
          </w:tcPr>
          <w:p w14:paraId="63220D71" w14:textId="77777777" w:rsidR="00EE5DFE" w:rsidRDefault="00EE5DFE">
            <w:pPr>
              <w:pBdr>
                <w:top w:val="nil"/>
                <w:left w:val="nil"/>
                <w:bottom w:val="nil"/>
                <w:right w:val="nil"/>
                <w:between w:val="nil"/>
              </w:pBdr>
              <w:spacing w:before="40" w:after="40"/>
              <w:jc w:val="center"/>
              <w:rPr>
                <w:color w:val="000000"/>
                <w:sz w:val="20"/>
                <w:szCs w:val="20"/>
              </w:rPr>
            </w:pPr>
          </w:p>
        </w:tc>
        <w:tc>
          <w:tcPr>
            <w:tcW w:w="1177" w:type="dxa"/>
            <w:tcBorders>
              <w:top w:val="single" w:sz="12" w:space="0" w:color="000000"/>
              <w:bottom w:val="single" w:sz="12" w:space="0" w:color="000000"/>
            </w:tcBorders>
          </w:tcPr>
          <w:p w14:paraId="2C6A906B"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Q2 Predict</w:t>
            </w:r>
          </w:p>
        </w:tc>
      </w:tr>
      <w:tr w:rsidR="00EE5DFE" w14:paraId="7FDD926C" w14:textId="77777777">
        <w:tc>
          <w:tcPr>
            <w:tcW w:w="1806" w:type="dxa"/>
            <w:tcBorders>
              <w:top w:val="single" w:sz="12" w:space="0" w:color="000000"/>
              <w:left w:val="nil"/>
              <w:bottom w:val="nil"/>
              <w:right w:val="nil"/>
            </w:tcBorders>
          </w:tcPr>
          <w:p w14:paraId="38083A7E"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Corporate Income Tax</w:t>
            </w:r>
          </w:p>
        </w:tc>
        <w:tc>
          <w:tcPr>
            <w:tcW w:w="1177" w:type="dxa"/>
            <w:tcBorders>
              <w:top w:val="single" w:sz="12" w:space="0" w:color="000000"/>
              <w:left w:val="nil"/>
              <w:bottom w:val="nil"/>
              <w:right w:val="nil"/>
            </w:tcBorders>
          </w:tcPr>
          <w:p w14:paraId="2EB8BAA8"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0,042</w:t>
            </w:r>
          </w:p>
        </w:tc>
      </w:tr>
      <w:tr w:rsidR="00EE5DFE" w14:paraId="4D197E98" w14:textId="77777777">
        <w:tc>
          <w:tcPr>
            <w:tcW w:w="1806" w:type="dxa"/>
            <w:tcBorders>
              <w:top w:val="nil"/>
              <w:left w:val="nil"/>
              <w:bottom w:val="single" w:sz="12" w:space="0" w:color="000000"/>
              <w:right w:val="nil"/>
            </w:tcBorders>
          </w:tcPr>
          <w:p w14:paraId="72473FCE" w14:textId="77777777" w:rsidR="00EE5DFE" w:rsidRDefault="00EE5DFE">
            <w:pPr>
              <w:pBdr>
                <w:top w:val="nil"/>
                <w:left w:val="nil"/>
                <w:bottom w:val="nil"/>
                <w:right w:val="nil"/>
                <w:between w:val="nil"/>
              </w:pBdr>
              <w:spacing w:before="20" w:after="20"/>
              <w:jc w:val="center"/>
              <w:rPr>
                <w:b w:val="0"/>
                <w:bCs w:val="0"/>
                <w:color w:val="000000"/>
                <w:sz w:val="20"/>
                <w:szCs w:val="20"/>
              </w:rPr>
            </w:pPr>
          </w:p>
        </w:tc>
        <w:tc>
          <w:tcPr>
            <w:tcW w:w="1177" w:type="dxa"/>
            <w:tcBorders>
              <w:top w:val="nil"/>
              <w:left w:val="nil"/>
              <w:bottom w:val="single" w:sz="12" w:space="0" w:color="000000"/>
              <w:right w:val="nil"/>
            </w:tcBorders>
          </w:tcPr>
          <w:p w14:paraId="3267A45E" w14:textId="77777777" w:rsidR="00EE5DFE" w:rsidRDefault="00EE5DFE">
            <w:pPr>
              <w:pBdr>
                <w:top w:val="nil"/>
                <w:left w:val="nil"/>
                <w:bottom w:val="nil"/>
                <w:right w:val="nil"/>
                <w:between w:val="nil"/>
              </w:pBdr>
              <w:spacing w:before="20" w:after="20"/>
              <w:jc w:val="center"/>
              <w:rPr>
                <w:b w:val="0"/>
                <w:bCs w:val="0"/>
                <w:color w:val="000000"/>
                <w:sz w:val="20"/>
                <w:szCs w:val="20"/>
              </w:rPr>
            </w:pPr>
          </w:p>
        </w:tc>
      </w:tr>
    </w:tbl>
    <w:p w14:paraId="661A5BE4" w14:textId="7777777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b w:val="0"/>
          <w:bCs w:val="0"/>
          <w:color w:val="000000"/>
          <w:sz w:val="20"/>
          <w:szCs w:val="20"/>
        </w:rPr>
        <w:t>Source: Processed Data (2025)</w:t>
      </w:r>
    </w:p>
    <w:p w14:paraId="1C442F65" w14:textId="77777777" w:rsidR="00EE5DFE" w:rsidRDefault="00EE5DFE">
      <w:pPr>
        <w:pBdr>
          <w:top w:val="nil"/>
          <w:left w:val="nil"/>
          <w:bottom w:val="nil"/>
          <w:right w:val="nil"/>
          <w:between w:val="nil"/>
        </w:pBdr>
        <w:spacing w:line="228" w:lineRule="auto"/>
        <w:ind w:left="2608" w:firstLine="425"/>
        <w:rPr>
          <w:b w:val="0"/>
          <w:bCs w:val="0"/>
          <w:color w:val="000000"/>
        </w:rPr>
      </w:pPr>
    </w:p>
    <w:p w14:paraId="7EDAE8F0"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Based on Table 5, the Q² Predict value for Corporate Income Tax is 0.042. A positive Q² value indicates that the model has predictive relevance; however, the magnitude is very weak. This result suggests that the model’s predictive performance is only marginally better than a naïve prediction based on the mean, indicating that Corporate Income Tax is largely influenced by factors beyond those included in the model.</w:t>
      </w:r>
    </w:p>
    <w:p w14:paraId="2F2748AF" w14:textId="77777777" w:rsidR="00EE5DFE" w:rsidRDefault="00000000">
      <w:pPr>
        <w:pBdr>
          <w:top w:val="nil"/>
          <w:left w:val="nil"/>
          <w:bottom w:val="nil"/>
          <w:right w:val="nil"/>
          <w:between w:val="nil"/>
        </w:pBdr>
        <w:spacing w:before="240" w:after="60" w:line="228" w:lineRule="auto"/>
        <w:ind w:left="2608"/>
        <w:jc w:val="left"/>
        <w:rPr>
          <w:color w:val="000000"/>
        </w:rPr>
      </w:pPr>
      <w:r>
        <w:rPr>
          <w:color w:val="000000"/>
        </w:rPr>
        <w:t>4.6. Hypothesis Testing (Bootstrapping)</w:t>
      </w:r>
    </w:p>
    <w:p w14:paraId="111C210B" w14:textId="77777777" w:rsidR="00EE5DFE" w:rsidRDefault="00000000">
      <w:pPr>
        <w:pBdr>
          <w:top w:val="nil"/>
          <w:left w:val="nil"/>
          <w:bottom w:val="nil"/>
          <w:right w:val="nil"/>
          <w:between w:val="nil"/>
        </w:pBdr>
        <w:spacing w:line="228" w:lineRule="auto"/>
        <w:ind w:left="2608" w:firstLine="425"/>
        <w:rPr>
          <w:b w:val="0"/>
          <w:bCs w:val="0"/>
          <w:color w:val="000000"/>
          <w:sz w:val="20"/>
          <w:szCs w:val="20"/>
        </w:rPr>
      </w:pPr>
      <w:r>
        <w:rPr>
          <w:noProof/>
        </w:rPr>
        <w:drawing>
          <wp:anchor distT="0" distB="0" distL="0" distR="0" simplePos="0" relativeHeight="251659264" behindDoc="1" locked="0" layoutInCell="1" hidden="0" allowOverlap="1" wp14:anchorId="4167F4C3" wp14:editId="4C25A153">
            <wp:simplePos x="0" y="0"/>
            <wp:positionH relativeFrom="column">
              <wp:posOffset>2698750</wp:posOffset>
            </wp:positionH>
            <wp:positionV relativeFrom="paragraph">
              <wp:posOffset>135890</wp:posOffset>
            </wp:positionV>
            <wp:extent cx="2784475" cy="1699260"/>
            <wp:effectExtent l="0" t="0" r="0" b="0"/>
            <wp:wrapNone/>
            <wp:docPr id="8657459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784475" cy="1699260"/>
                    </a:xfrm>
                    <a:prstGeom prst="rect">
                      <a:avLst/>
                    </a:prstGeom>
                    <a:ln/>
                  </pic:spPr>
                </pic:pic>
              </a:graphicData>
            </a:graphic>
          </wp:anchor>
        </w:drawing>
      </w:r>
    </w:p>
    <w:p w14:paraId="7F2C50B3" w14:textId="77777777" w:rsidR="00EE5DFE" w:rsidRDefault="00EE5DFE">
      <w:pPr>
        <w:pBdr>
          <w:top w:val="nil"/>
          <w:left w:val="nil"/>
          <w:bottom w:val="nil"/>
          <w:right w:val="nil"/>
          <w:between w:val="nil"/>
        </w:pBdr>
        <w:spacing w:line="228" w:lineRule="auto"/>
        <w:ind w:left="2608" w:firstLine="425"/>
        <w:rPr>
          <w:b w:val="0"/>
          <w:bCs w:val="0"/>
          <w:color w:val="000000"/>
        </w:rPr>
      </w:pPr>
    </w:p>
    <w:p w14:paraId="6220DB96" w14:textId="77777777" w:rsidR="00EE5DFE" w:rsidRDefault="00EE5DFE">
      <w:pPr>
        <w:pBdr>
          <w:top w:val="nil"/>
          <w:left w:val="nil"/>
          <w:bottom w:val="nil"/>
          <w:right w:val="nil"/>
          <w:between w:val="nil"/>
        </w:pBdr>
        <w:spacing w:line="228" w:lineRule="auto"/>
        <w:ind w:left="2608" w:firstLine="425"/>
        <w:rPr>
          <w:b w:val="0"/>
          <w:bCs w:val="0"/>
          <w:color w:val="000000"/>
        </w:rPr>
      </w:pPr>
    </w:p>
    <w:p w14:paraId="2194ED60" w14:textId="77777777" w:rsidR="00EE5DFE" w:rsidRDefault="00EE5DFE">
      <w:pPr>
        <w:pBdr>
          <w:top w:val="nil"/>
          <w:left w:val="nil"/>
          <w:bottom w:val="nil"/>
          <w:right w:val="nil"/>
          <w:between w:val="nil"/>
        </w:pBdr>
        <w:spacing w:line="228" w:lineRule="auto"/>
        <w:ind w:left="2608" w:firstLine="425"/>
        <w:rPr>
          <w:b w:val="0"/>
          <w:bCs w:val="0"/>
          <w:color w:val="000000"/>
        </w:rPr>
      </w:pPr>
    </w:p>
    <w:p w14:paraId="69633438" w14:textId="77777777" w:rsidR="00EE5DFE" w:rsidRDefault="00EE5DFE">
      <w:pPr>
        <w:pBdr>
          <w:top w:val="nil"/>
          <w:left w:val="nil"/>
          <w:bottom w:val="nil"/>
          <w:right w:val="nil"/>
          <w:between w:val="nil"/>
        </w:pBdr>
        <w:spacing w:line="228" w:lineRule="auto"/>
        <w:ind w:left="2608" w:firstLine="425"/>
        <w:rPr>
          <w:b w:val="0"/>
          <w:bCs w:val="0"/>
          <w:color w:val="000000"/>
        </w:rPr>
      </w:pPr>
    </w:p>
    <w:p w14:paraId="1DD738F7" w14:textId="77777777" w:rsidR="00EE5DFE" w:rsidRDefault="00EE5DFE">
      <w:pPr>
        <w:pBdr>
          <w:top w:val="nil"/>
          <w:left w:val="nil"/>
          <w:bottom w:val="nil"/>
          <w:right w:val="nil"/>
          <w:between w:val="nil"/>
        </w:pBdr>
        <w:spacing w:line="228" w:lineRule="auto"/>
        <w:ind w:left="2608" w:firstLine="425"/>
        <w:rPr>
          <w:b w:val="0"/>
          <w:bCs w:val="0"/>
          <w:color w:val="000000"/>
        </w:rPr>
      </w:pPr>
    </w:p>
    <w:p w14:paraId="64B10F6E" w14:textId="77777777" w:rsidR="00EE5DFE" w:rsidRDefault="00EE5DFE">
      <w:pPr>
        <w:pBdr>
          <w:top w:val="nil"/>
          <w:left w:val="nil"/>
          <w:bottom w:val="nil"/>
          <w:right w:val="nil"/>
          <w:between w:val="nil"/>
        </w:pBdr>
        <w:spacing w:line="228" w:lineRule="auto"/>
        <w:ind w:left="2608" w:firstLine="425"/>
        <w:rPr>
          <w:b w:val="0"/>
          <w:bCs w:val="0"/>
          <w:color w:val="000000"/>
        </w:rPr>
      </w:pPr>
    </w:p>
    <w:p w14:paraId="77A9D589" w14:textId="77777777" w:rsidR="00EE5DFE" w:rsidRDefault="00EE5DFE">
      <w:pPr>
        <w:pBdr>
          <w:top w:val="nil"/>
          <w:left w:val="nil"/>
          <w:bottom w:val="nil"/>
          <w:right w:val="nil"/>
          <w:between w:val="nil"/>
        </w:pBdr>
        <w:spacing w:line="228" w:lineRule="auto"/>
        <w:ind w:left="2608" w:firstLine="425"/>
        <w:rPr>
          <w:b w:val="0"/>
          <w:bCs w:val="0"/>
          <w:color w:val="000000"/>
        </w:rPr>
      </w:pPr>
    </w:p>
    <w:p w14:paraId="4971DC29" w14:textId="77777777" w:rsidR="00EE5DFE" w:rsidRDefault="00EE5DFE">
      <w:pPr>
        <w:pBdr>
          <w:top w:val="nil"/>
          <w:left w:val="nil"/>
          <w:bottom w:val="nil"/>
          <w:right w:val="nil"/>
          <w:between w:val="nil"/>
        </w:pBdr>
        <w:spacing w:line="228" w:lineRule="auto"/>
        <w:ind w:left="2608" w:firstLine="425"/>
        <w:rPr>
          <w:b w:val="0"/>
          <w:bCs w:val="0"/>
          <w:color w:val="000000"/>
        </w:rPr>
      </w:pPr>
    </w:p>
    <w:p w14:paraId="3017E03F" w14:textId="77777777" w:rsidR="00EE5DFE" w:rsidRDefault="00EE5DFE">
      <w:pPr>
        <w:pBdr>
          <w:top w:val="nil"/>
          <w:left w:val="nil"/>
          <w:bottom w:val="nil"/>
          <w:right w:val="nil"/>
          <w:between w:val="nil"/>
        </w:pBdr>
        <w:spacing w:line="228" w:lineRule="auto"/>
        <w:ind w:left="2608" w:firstLine="425"/>
        <w:jc w:val="center"/>
        <w:rPr>
          <w:b w:val="0"/>
          <w:bCs w:val="0"/>
          <w:color w:val="000000"/>
          <w:sz w:val="20"/>
          <w:szCs w:val="20"/>
        </w:rPr>
      </w:pPr>
    </w:p>
    <w:p w14:paraId="1F029214" w14:textId="77777777" w:rsidR="00EE5DFE" w:rsidRDefault="00EE5DFE">
      <w:pPr>
        <w:pBdr>
          <w:top w:val="nil"/>
          <w:left w:val="nil"/>
          <w:bottom w:val="nil"/>
          <w:right w:val="nil"/>
          <w:between w:val="nil"/>
        </w:pBdr>
        <w:spacing w:line="228" w:lineRule="auto"/>
        <w:ind w:left="2608" w:firstLine="425"/>
        <w:jc w:val="center"/>
        <w:rPr>
          <w:b w:val="0"/>
          <w:bCs w:val="0"/>
          <w:color w:val="000000"/>
          <w:sz w:val="20"/>
          <w:szCs w:val="20"/>
        </w:rPr>
      </w:pPr>
    </w:p>
    <w:p w14:paraId="40AABDCA" w14:textId="7777777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b w:val="0"/>
          <w:bCs w:val="0"/>
          <w:color w:val="000000"/>
          <w:sz w:val="20"/>
          <w:szCs w:val="20"/>
        </w:rPr>
        <w:t>Source: Processed Data (2025)</w:t>
      </w:r>
    </w:p>
    <w:p w14:paraId="713FD4E2" w14:textId="6C75ED6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color w:val="000000"/>
          <w:sz w:val="20"/>
          <w:szCs w:val="20"/>
        </w:rPr>
        <w:t xml:space="preserve">Figure </w:t>
      </w:r>
      <w:r w:rsidR="00AB1711">
        <w:rPr>
          <w:color w:val="000000"/>
          <w:sz w:val="20"/>
          <w:szCs w:val="20"/>
        </w:rPr>
        <w:t>2</w:t>
      </w:r>
      <w:r>
        <w:rPr>
          <w:color w:val="000000"/>
          <w:sz w:val="20"/>
          <w:szCs w:val="20"/>
        </w:rPr>
        <w:t xml:space="preserve">. </w:t>
      </w:r>
      <w:r>
        <w:rPr>
          <w:b w:val="0"/>
          <w:bCs w:val="0"/>
          <w:color w:val="000000"/>
          <w:sz w:val="20"/>
          <w:szCs w:val="20"/>
        </w:rPr>
        <w:t>Research Model - Bootstrapping Results</w:t>
      </w:r>
    </w:p>
    <w:p w14:paraId="38D6CE86" w14:textId="77777777" w:rsidR="00EE5DFE" w:rsidRDefault="00EE5DFE">
      <w:pPr>
        <w:pBdr>
          <w:top w:val="nil"/>
          <w:left w:val="nil"/>
          <w:bottom w:val="nil"/>
          <w:right w:val="nil"/>
          <w:between w:val="nil"/>
        </w:pBdr>
        <w:spacing w:line="228" w:lineRule="auto"/>
        <w:ind w:left="2608" w:firstLine="425"/>
        <w:jc w:val="center"/>
        <w:rPr>
          <w:b w:val="0"/>
          <w:bCs w:val="0"/>
          <w:color w:val="000000"/>
          <w:sz w:val="20"/>
          <w:szCs w:val="20"/>
        </w:rPr>
      </w:pPr>
    </w:p>
    <w:p w14:paraId="23BDBE3A"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Figure 2 illustrates the bootstrapping results of the research model, showing the direction, strength, and significance of the relationships among variables in the structural model. Each path is represented by a path coefficient, which reflects the magnitude of the effect of the independent variables on Corporate Income Tax. Visually, the model indicates that Operating Cash Flow (OCF) and Leverage (DER) exhibit more prominent path coefficients compared to the other variables, as summarized in Table 6.</w:t>
      </w:r>
    </w:p>
    <w:p w14:paraId="41377EDA" w14:textId="77777777" w:rsidR="00EE5DFE" w:rsidRDefault="00EE5DFE">
      <w:pPr>
        <w:pBdr>
          <w:top w:val="nil"/>
          <w:left w:val="nil"/>
          <w:bottom w:val="nil"/>
          <w:right w:val="nil"/>
          <w:between w:val="nil"/>
        </w:pBdr>
        <w:spacing w:line="228" w:lineRule="auto"/>
        <w:ind w:left="2608" w:firstLine="425"/>
        <w:rPr>
          <w:b w:val="0"/>
          <w:bCs w:val="0"/>
          <w:color w:val="000000"/>
        </w:rPr>
      </w:pPr>
    </w:p>
    <w:p w14:paraId="090A4B7D" w14:textId="77777777" w:rsidR="00EE5DFE" w:rsidRDefault="00000000">
      <w:pPr>
        <w:pBdr>
          <w:top w:val="nil"/>
          <w:left w:val="nil"/>
          <w:bottom w:val="nil"/>
          <w:right w:val="nil"/>
          <w:between w:val="nil"/>
        </w:pBdr>
        <w:spacing w:line="228" w:lineRule="auto"/>
        <w:ind w:left="2608"/>
        <w:jc w:val="center"/>
        <w:rPr>
          <w:b w:val="0"/>
          <w:bCs w:val="0"/>
          <w:color w:val="000000"/>
        </w:rPr>
      </w:pPr>
      <w:r>
        <w:rPr>
          <w:color w:val="000000"/>
        </w:rPr>
        <w:t>Table 6.</w:t>
      </w:r>
      <w:r>
        <w:rPr>
          <w:b w:val="0"/>
          <w:bCs w:val="0"/>
          <w:color w:val="000000"/>
        </w:rPr>
        <w:t xml:space="preserve"> Descriptive Statistics.</w:t>
      </w:r>
    </w:p>
    <w:tbl>
      <w:tblPr>
        <w:tblStyle w:val="aa"/>
        <w:tblW w:w="5193" w:type="dxa"/>
        <w:tblInd w:w="3817" w:type="dxa"/>
        <w:tblBorders>
          <w:top w:val="single" w:sz="8" w:space="0" w:color="000000"/>
          <w:bottom w:val="single" w:sz="8" w:space="0" w:color="000000"/>
        </w:tblBorders>
        <w:tblLayout w:type="fixed"/>
        <w:tblLook w:val="0400" w:firstRow="0" w:lastRow="0" w:firstColumn="0" w:lastColumn="0" w:noHBand="0" w:noVBand="1"/>
      </w:tblPr>
      <w:tblGrid>
        <w:gridCol w:w="1220"/>
        <w:gridCol w:w="1177"/>
        <w:gridCol w:w="713"/>
        <w:gridCol w:w="759"/>
        <w:gridCol w:w="1324"/>
      </w:tblGrid>
      <w:tr w:rsidR="00EE5DFE" w14:paraId="78417D40" w14:textId="77777777">
        <w:tc>
          <w:tcPr>
            <w:tcW w:w="1220" w:type="dxa"/>
            <w:tcBorders>
              <w:top w:val="single" w:sz="12" w:space="0" w:color="000000"/>
              <w:bottom w:val="single" w:sz="12" w:space="0" w:color="000000"/>
            </w:tcBorders>
            <w:vAlign w:val="center"/>
          </w:tcPr>
          <w:p w14:paraId="6AFEA92A" w14:textId="77777777" w:rsidR="00EE5DFE" w:rsidRDefault="00EE5DFE">
            <w:pPr>
              <w:pBdr>
                <w:top w:val="nil"/>
                <w:left w:val="nil"/>
                <w:bottom w:val="nil"/>
                <w:right w:val="nil"/>
                <w:between w:val="nil"/>
              </w:pBdr>
              <w:spacing w:before="40" w:after="40"/>
              <w:jc w:val="center"/>
              <w:rPr>
                <w:color w:val="000000"/>
                <w:sz w:val="20"/>
                <w:szCs w:val="20"/>
              </w:rPr>
            </w:pPr>
          </w:p>
        </w:tc>
        <w:tc>
          <w:tcPr>
            <w:tcW w:w="1177" w:type="dxa"/>
            <w:tcBorders>
              <w:top w:val="single" w:sz="12" w:space="0" w:color="000000"/>
              <w:bottom w:val="single" w:sz="12" w:space="0" w:color="000000"/>
            </w:tcBorders>
          </w:tcPr>
          <w:p w14:paraId="46AC9749"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Path Coefficient</w:t>
            </w:r>
          </w:p>
        </w:tc>
        <w:tc>
          <w:tcPr>
            <w:tcW w:w="713" w:type="dxa"/>
            <w:tcBorders>
              <w:top w:val="single" w:sz="12" w:space="0" w:color="000000"/>
              <w:bottom w:val="single" w:sz="12" w:space="0" w:color="000000"/>
            </w:tcBorders>
          </w:tcPr>
          <w:p w14:paraId="66349C11"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Standard deviation</w:t>
            </w:r>
          </w:p>
        </w:tc>
        <w:tc>
          <w:tcPr>
            <w:tcW w:w="759" w:type="dxa"/>
            <w:tcBorders>
              <w:top w:val="single" w:sz="12" w:space="0" w:color="000000"/>
              <w:bottom w:val="single" w:sz="12" w:space="0" w:color="000000"/>
            </w:tcBorders>
          </w:tcPr>
          <w:p w14:paraId="0B541C22"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T statistics</w:t>
            </w:r>
          </w:p>
        </w:tc>
        <w:tc>
          <w:tcPr>
            <w:tcW w:w="1324" w:type="dxa"/>
            <w:tcBorders>
              <w:top w:val="single" w:sz="12" w:space="0" w:color="000000"/>
              <w:bottom w:val="single" w:sz="12" w:space="0" w:color="000000"/>
            </w:tcBorders>
          </w:tcPr>
          <w:p w14:paraId="34C803AB" w14:textId="77777777" w:rsidR="00EE5DFE" w:rsidRDefault="00000000">
            <w:pPr>
              <w:pBdr>
                <w:top w:val="nil"/>
                <w:left w:val="nil"/>
                <w:bottom w:val="nil"/>
                <w:right w:val="nil"/>
                <w:between w:val="nil"/>
              </w:pBdr>
              <w:spacing w:before="40" w:after="40"/>
              <w:jc w:val="center"/>
              <w:rPr>
                <w:color w:val="000000"/>
                <w:sz w:val="20"/>
                <w:szCs w:val="20"/>
              </w:rPr>
            </w:pPr>
            <w:r>
              <w:rPr>
                <w:b w:val="0"/>
                <w:bCs w:val="0"/>
                <w:color w:val="000000"/>
                <w:sz w:val="20"/>
                <w:szCs w:val="20"/>
              </w:rPr>
              <w:t>P values</w:t>
            </w:r>
          </w:p>
        </w:tc>
      </w:tr>
      <w:tr w:rsidR="00EE5DFE" w14:paraId="1C1F7F05" w14:textId="77777777">
        <w:tc>
          <w:tcPr>
            <w:tcW w:w="1220" w:type="dxa"/>
            <w:tcBorders>
              <w:top w:val="single" w:sz="12" w:space="0" w:color="000000"/>
              <w:left w:val="nil"/>
              <w:bottom w:val="nil"/>
              <w:right w:val="nil"/>
            </w:tcBorders>
          </w:tcPr>
          <w:p w14:paraId="036F010E" w14:textId="77777777" w:rsidR="00EE5DFE" w:rsidRDefault="00000000">
            <w:pPr>
              <w:pBdr>
                <w:top w:val="nil"/>
                <w:left w:val="nil"/>
                <w:bottom w:val="nil"/>
                <w:right w:val="nil"/>
                <w:between w:val="nil"/>
              </w:pBdr>
              <w:spacing w:before="20" w:after="20"/>
              <w:rPr>
                <w:b w:val="0"/>
                <w:bCs w:val="0"/>
                <w:color w:val="000000"/>
                <w:sz w:val="20"/>
                <w:szCs w:val="20"/>
              </w:rPr>
            </w:pPr>
            <w:r>
              <w:rPr>
                <w:b w:val="0"/>
                <w:bCs w:val="0"/>
                <w:color w:val="000000"/>
                <w:sz w:val="20"/>
                <w:szCs w:val="20"/>
              </w:rPr>
              <w:t xml:space="preserve">OCFR </w:t>
            </w:r>
            <w:r>
              <w:rPr>
                <w:rFonts w:ascii="Wingdings" w:eastAsia="Wingdings" w:hAnsi="Wingdings" w:cs="Wingdings"/>
                <w:b w:val="0"/>
                <w:bCs w:val="0"/>
                <w:color w:val="000000"/>
                <w:sz w:val="20"/>
                <w:szCs w:val="20"/>
              </w:rPr>
              <w:t>🡪</w:t>
            </w:r>
            <w:r>
              <w:rPr>
                <w:b w:val="0"/>
                <w:bCs w:val="0"/>
                <w:color w:val="000000"/>
                <w:sz w:val="20"/>
                <w:szCs w:val="20"/>
              </w:rPr>
              <w:t xml:space="preserve"> CIT </w:t>
            </w:r>
          </w:p>
        </w:tc>
        <w:tc>
          <w:tcPr>
            <w:tcW w:w="1177" w:type="dxa"/>
            <w:tcBorders>
              <w:top w:val="single" w:sz="12" w:space="0" w:color="000000"/>
              <w:left w:val="nil"/>
              <w:bottom w:val="nil"/>
              <w:right w:val="nil"/>
            </w:tcBorders>
          </w:tcPr>
          <w:p w14:paraId="548832DA"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0.234</w:t>
            </w:r>
          </w:p>
        </w:tc>
        <w:tc>
          <w:tcPr>
            <w:tcW w:w="713" w:type="dxa"/>
            <w:tcBorders>
              <w:top w:val="single" w:sz="12" w:space="0" w:color="000000"/>
              <w:left w:val="nil"/>
              <w:bottom w:val="nil"/>
              <w:right w:val="nil"/>
            </w:tcBorders>
          </w:tcPr>
          <w:p w14:paraId="0813BAF4"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0,107</w:t>
            </w:r>
          </w:p>
        </w:tc>
        <w:tc>
          <w:tcPr>
            <w:tcW w:w="759" w:type="dxa"/>
            <w:tcBorders>
              <w:top w:val="single" w:sz="12" w:space="0" w:color="000000"/>
              <w:left w:val="nil"/>
              <w:bottom w:val="nil"/>
              <w:right w:val="nil"/>
            </w:tcBorders>
          </w:tcPr>
          <w:p w14:paraId="77F7C960"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2,185</w:t>
            </w:r>
          </w:p>
        </w:tc>
        <w:tc>
          <w:tcPr>
            <w:tcW w:w="1324" w:type="dxa"/>
            <w:tcBorders>
              <w:top w:val="single" w:sz="12" w:space="0" w:color="000000"/>
              <w:left w:val="nil"/>
              <w:bottom w:val="nil"/>
              <w:right w:val="nil"/>
            </w:tcBorders>
          </w:tcPr>
          <w:p w14:paraId="77F5648D"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0,029</w:t>
            </w:r>
          </w:p>
        </w:tc>
      </w:tr>
      <w:tr w:rsidR="00EE5DFE" w14:paraId="3153C6B7" w14:textId="77777777">
        <w:tc>
          <w:tcPr>
            <w:tcW w:w="1220" w:type="dxa"/>
            <w:tcBorders>
              <w:top w:val="nil"/>
              <w:left w:val="nil"/>
              <w:bottom w:val="nil"/>
              <w:right w:val="nil"/>
            </w:tcBorders>
          </w:tcPr>
          <w:p w14:paraId="7F5897CA" w14:textId="77777777" w:rsidR="00EE5DFE" w:rsidRDefault="00000000">
            <w:pPr>
              <w:pBdr>
                <w:top w:val="nil"/>
                <w:left w:val="nil"/>
                <w:bottom w:val="nil"/>
                <w:right w:val="nil"/>
                <w:between w:val="nil"/>
              </w:pBdr>
              <w:spacing w:before="20" w:after="20"/>
              <w:rPr>
                <w:b w:val="0"/>
                <w:bCs w:val="0"/>
                <w:color w:val="000000"/>
                <w:sz w:val="20"/>
                <w:szCs w:val="20"/>
              </w:rPr>
            </w:pPr>
            <w:r>
              <w:rPr>
                <w:b w:val="0"/>
                <w:bCs w:val="0"/>
                <w:color w:val="000000"/>
                <w:sz w:val="20"/>
                <w:szCs w:val="20"/>
              </w:rPr>
              <w:t xml:space="preserve">DER </w:t>
            </w:r>
            <w:r>
              <w:rPr>
                <w:rFonts w:ascii="Wingdings" w:eastAsia="Wingdings" w:hAnsi="Wingdings" w:cs="Wingdings"/>
                <w:b w:val="0"/>
                <w:bCs w:val="0"/>
                <w:color w:val="000000"/>
                <w:sz w:val="20"/>
                <w:szCs w:val="20"/>
              </w:rPr>
              <w:t>🡪</w:t>
            </w:r>
            <w:r>
              <w:rPr>
                <w:b w:val="0"/>
                <w:bCs w:val="0"/>
                <w:color w:val="000000"/>
                <w:sz w:val="20"/>
                <w:szCs w:val="20"/>
              </w:rPr>
              <w:t xml:space="preserve"> CIT</w:t>
            </w:r>
          </w:p>
        </w:tc>
        <w:tc>
          <w:tcPr>
            <w:tcW w:w="1177" w:type="dxa"/>
            <w:tcBorders>
              <w:top w:val="nil"/>
              <w:left w:val="nil"/>
              <w:bottom w:val="nil"/>
              <w:right w:val="nil"/>
            </w:tcBorders>
          </w:tcPr>
          <w:p w14:paraId="04C40A56"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-0.429</w:t>
            </w:r>
          </w:p>
        </w:tc>
        <w:tc>
          <w:tcPr>
            <w:tcW w:w="713" w:type="dxa"/>
            <w:tcBorders>
              <w:top w:val="nil"/>
              <w:left w:val="nil"/>
              <w:bottom w:val="nil"/>
              <w:right w:val="nil"/>
            </w:tcBorders>
          </w:tcPr>
          <w:p w14:paraId="6FCD32B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0,178</w:t>
            </w:r>
          </w:p>
        </w:tc>
        <w:tc>
          <w:tcPr>
            <w:tcW w:w="759" w:type="dxa"/>
            <w:tcBorders>
              <w:top w:val="nil"/>
              <w:left w:val="nil"/>
              <w:bottom w:val="nil"/>
              <w:right w:val="nil"/>
            </w:tcBorders>
          </w:tcPr>
          <w:p w14:paraId="2E1FC6DD"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2,406</w:t>
            </w:r>
          </w:p>
        </w:tc>
        <w:tc>
          <w:tcPr>
            <w:tcW w:w="1324" w:type="dxa"/>
            <w:tcBorders>
              <w:top w:val="nil"/>
              <w:left w:val="nil"/>
              <w:bottom w:val="nil"/>
              <w:right w:val="nil"/>
            </w:tcBorders>
          </w:tcPr>
          <w:p w14:paraId="141CD63E"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0,016</w:t>
            </w:r>
          </w:p>
        </w:tc>
      </w:tr>
      <w:tr w:rsidR="00EE5DFE" w14:paraId="7257D155" w14:textId="77777777">
        <w:tc>
          <w:tcPr>
            <w:tcW w:w="1220" w:type="dxa"/>
            <w:tcBorders>
              <w:top w:val="nil"/>
              <w:left w:val="nil"/>
              <w:bottom w:val="nil"/>
              <w:right w:val="nil"/>
            </w:tcBorders>
          </w:tcPr>
          <w:p w14:paraId="75FB2B2D" w14:textId="77777777" w:rsidR="00EE5DFE" w:rsidRDefault="00000000">
            <w:pPr>
              <w:pBdr>
                <w:top w:val="nil"/>
                <w:left w:val="nil"/>
                <w:bottom w:val="nil"/>
                <w:right w:val="nil"/>
                <w:between w:val="nil"/>
              </w:pBdr>
              <w:spacing w:before="20" w:after="20"/>
              <w:rPr>
                <w:b w:val="0"/>
                <w:bCs w:val="0"/>
                <w:color w:val="000000"/>
                <w:sz w:val="20"/>
                <w:szCs w:val="20"/>
              </w:rPr>
            </w:pPr>
            <w:r>
              <w:rPr>
                <w:b w:val="0"/>
                <w:bCs w:val="0"/>
                <w:color w:val="000000"/>
                <w:sz w:val="20"/>
                <w:szCs w:val="20"/>
              </w:rPr>
              <w:t xml:space="preserve">NPM </w:t>
            </w:r>
            <w:r>
              <w:rPr>
                <w:rFonts w:ascii="Wingdings" w:eastAsia="Wingdings" w:hAnsi="Wingdings" w:cs="Wingdings"/>
                <w:b w:val="0"/>
                <w:bCs w:val="0"/>
                <w:color w:val="000000"/>
                <w:sz w:val="20"/>
                <w:szCs w:val="20"/>
              </w:rPr>
              <w:t>🡪</w:t>
            </w:r>
            <w:r>
              <w:rPr>
                <w:b w:val="0"/>
                <w:bCs w:val="0"/>
                <w:color w:val="000000"/>
                <w:sz w:val="20"/>
                <w:szCs w:val="20"/>
              </w:rPr>
              <w:t xml:space="preserve"> CIT</w:t>
            </w:r>
          </w:p>
        </w:tc>
        <w:tc>
          <w:tcPr>
            <w:tcW w:w="1177" w:type="dxa"/>
            <w:tcBorders>
              <w:top w:val="nil"/>
              <w:left w:val="nil"/>
              <w:bottom w:val="nil"/>
              <w:right w:val="nil"/>
            </w:tcBorders>
          </w:tcPr>
          <w:p w14:paraId="3FB44F3D"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-0.108</w:t>
            </w:r>
          </w:p>
        </w:tc>
        <w:tc>
          <w:tcPr>
            <w:tcW w:w="713" w:type="dxa"/>
            <w:tcBorders>
              <w:top w:val="nil"/>
              <w:left w:val="nil"/>
              <w:bottom w:val="nil"/>
              <w:right w:val="nil"/>
            </w:tcBorders>
          </w:tcPr>
          <w:p w14:paraId="0350B49A"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0,14</w:t>
            </w:r>
          </w:p>
        </w:tc>
        <w:tc>
          <w:tcPr>
            <w:tcW w:w="759" w:type="dxa"/>
            <w:tcBorders>
              <w:top w:val="nil"/>
              <w:left w:val="nil"/>
              <w:bottom w:val="nil"/>
              <w:right w:val="nil"/>
            </w:tcBorders>
          </w:tcPr>
          <w:p w14:paraId="4A2D1877"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0,773</w:t>
            </w:r>
          </w:p>
        </w:tc>
        <w:tc>
          <w:tcPr>
            <w:tcW w:w="1324" w:type="dxa"/>
            <w:tcBorders>
              <w:top w:val="nil"/>
              <w:left w:val="nil"/>
              <w:bottom w:val="nil"/>
              <w:right w:val="nil"/>
            </w:tcBorders>
          </w:tcPr>
          <w:p w14:paraId="3F1060A1"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0,44</w:t>
            </w:r>
          </w:p>
        </w:tc>
      </w:tr>
      <w:tr w:rsidR="00EE5DFE" w14:paraId="70F736A6" w14:textId="77777777">
        <w:tc>
          <w:tcPr>
            <w:tcW w:w="1220" w:type="dxa"/>
            <w:tcBorders>
              <w:top w:val="nil"/>
              <w:left w:val="nil"/>
              <w:bottom w:val="single" w:sz="12" w:space="0" w:color="000000"/>
              <w:right w:val="nil"/>
            </w:tcBorders>
          </w:tcPr>
          <w:p w14:paraId="2E06A9B5" w14:textId="77777777" w:rsidR="00EE5DFE" w:rsidRDefault="00000000">
            <w:pPr>
              <w:pBdr>
                <w:top w:val="nil"/>
                <w:left w:val="nil"/>
                <w:bottom w:val="nil"/>
                <w:right w:val="nil"/>
                <w:between w:val="nil"/>
              </w:pBdr>
              <w:spacing w:before="20" w:after="20"/>
              <w:rPr>
                <w:b w:val="0"/>
                <w:bCs w:val="0"/>
                <w:color w:val="000000"/>
                <w:sz w:val="20"/>
                <w:szCs w:val="20"/>
              </w:rPr>
            </w:pPr>
            <w:r>
              <w:rPr>
                <w:b w:val="0"/>
                <w:bCs w:val="0"/>
                <w:color w:val="000000"/>
                <w:sz w:val="20"/>
                <w:szCs w:val="20"/>
              </w:rPr>
              <w:t xml:space="preserve">CR </w:t>
            </w:r>
            <w:r>
              <w:rPr>
                <w:rFonts w:ascii="Wingdings" w:eastAsia="Wingdings" w:hAnsi="Wingdings" w:cs="Wingdings"/>
                <w:b w:val="0"/>
                <w:bCs w:val="0"/>
                <w:color w:val="000000"/>
                <w:sz w:val="20"/>
                <w:szCs w:val="20"/>
              </w:rPr>
              <w:t>🡪</w:t>
            </w:r>
            <w:r>
              <w:rPr>
                <w:b w:val="0"/>
                <w:bCs w:val="0"/>
                <w:color w:val="000000"/>
                <w:sz w:val="20"/>
                <w:szCs w:val="20"/>
              </w:rPr>
              <w:t xml:space="preserve"> CIT</w:t>
            </w:r>
          </w:p>
        </w:tc>
        <w:tc>
          <w:tcPr>
            <w:tcW w:w="1177" w:type="dxa"/>
            <w:tcBorders>
              <w:top w:val="nil"/>
              <w:left w:val="nil"/>
              <w:bottom w:val="single" w:sz="12" w:space="0" w:color="000000"/>
              <w:right w:val="nil"/>
            </w:tcBorders>
          </w:tcPr>
          <w:p w14:paraId="50A95A19"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-0.166</w:t>
            </w:r>
          </w:p>
        </w:tc>
        <w:tc>
          <w:tcPr>
            <w:tcW w:w="713" w:type="dxa"/>
            <w:tcBorders>
              <w:top w:val="nil"/>
              <w:left w:val="nil"/>
              <w:bottom w:val="single" w:sz="12" w:space="0" w:color="000000"/>
              <w:right w:val="nil"/>
            </w:tcBorders>
          </w:tcPr>
          <w:p w14:paraId="0BF246A7"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0,183</w:t>
            </w:r>
          </w:p>
        </w:tc>
        <w:tc>
          <w:tcPr>
            <w:tcW w:w="759" w:type="dxa"/>
            <w:tcBorders>
              <w:top w:val="nil"/>
              <w:left w:val="nil"/>
              <w:bottom w:val="single" w:sz="12" w:space="0" w:color="000000"/>
              <w:right w:val="nil"/>
            </w:tcBorders>
          </w:tcPr>
          <w:p w14:paraId="688D38C7"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0,908</w:t>
            </w:r>
          </w:p>
        </w:tc>
        <w:tc>
          <w:tcPr>
            <w:tcW w:w="1324" w:type="dxa"/>
            <w:tcBorders>
              <w:top w:val="nil"/>
              <w:left w:val="nil"/>
              <w:bottom w:val="single" w:sz="12" w:space="0" w:color="000000"/>
              <w:right w:val="nil"/>
            </w:tcBorders>
          </w:tcPr>
          <w:p w14:paraId="0CC80868" w14:textId="77777777" w:rsidR="00EE5DFE" w:rsidRDefault="00000000">
            <w:pPr>
              <w:pBdr>
                <w:top w:val="nil"/>
                <w:left w:val="nil"/>
                <w:bottom w:val="nil"/>
                <w:right w:val="nil"/>
                <w:between w:val="nil"/>
              </w:pBdr>
              <w:spacing w:before="20" w:after="20"/>
              <w:jc w:val="center"/>
              <w:rPr>
                <w:b w:val="0"/>
                <w:bCs w:val="0"/>
                <w:color w:val="000000"/>
                <w:sz w:val="20"/>
                <w:szCs w:val="20"/>
              </w:rPr>
            </w:pPr>
            <w:r>
              <w:rPr>
                <w:b w:val="0"/>
                <w:bCs w:val="0"/>
                <w:color w:val="000000"/>
                <w:sz w:val="20"/>
                <w:szCs w:val="20"/>
              </w:rPr>
              <w:t>0,364</w:t>
            </w:r>
          </w:p>
        </w:tc>
      </w:tr>
    </w:tbl>
    <w:p w14:paraId="56F87956" w14:textId="77777777" w:rsidR="00EE5DFE" w:rsidRDefault="00000000">
      <w:pPr>
        <w:pBdr>
          <w:top w:val="nil"/>
          <w:left w:val="nil"/>
          <w:bottom w:val="nil"/>
          <w:right w:val="nil"/>
          <w:between w:val="nil"/>
        </w:pBdr>
        <w:spacing w:line="228" w:lineRule="auto"/>
        <w:ind w:left="2608" w:firstLine="425"/>
        <w:jc w:val="center"/>
        <w:rPr>
          <w:b w:val="0"/>
          <w:bCs w:val="0"/>
          <w:color w:val="000000"/>
          <w:sz w:val="20"/>
          <w:szCs w:val="20"/>
        </w:rPr>
      </w:pPr>
      <w:r>
        <w:rPr>
          <w:b w:val="0"/>
          <w:bCs w:val="0"/>
          <w:color w:val="000000"/>
          <w:sz w:val="20"/>
          <w:szCs w:val="20"/>
        </w:rPr>
        <w:t>Source: Processed Data (2025)</w:t>
      </w:r>
    </w:p>
    <w:p w14:paraId="1553BBFA" w14:textId="77777777" w:rsidR="00EE5DFE" w:rsidRDefault="00EE5DFE">
      <w:pPr>
        <w:pBdr>
          <w:top w:val="nil"/>
          <w:left w:val="nil"/>
          <w:bottom w:val="nil"/>
          <w:right w:val="nil"/>
          <w:between w:val="nil"/>
        </w:pBdr>
        <w:spacing w:line="228" w:lineRule="auto"/>
        <w:ind w:left="2608" w:firstLine="425"/>
        <w:rPr>
          <w:b w:val="0"/>
          <w:bCs w:val="0"/>
          <w:color w:val="000000"/>
        </w:rPr>
      </w:pPr>
    </w:p>
    <w:p w14:paraId="485F103B"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 xml:space="preserve">The hypothesis testing results using bootstrapping in Table 6 indicate that Operating Cash Flow has a significant effect on Corporate Income Tax, with a t-statistic of 2.185 and a p-value below 0.05. This finding implies that higher operating cash flows are associated with higher corporate income tax payments. Leverage also shows a significant effect, with a t-statistic of 2.406 and a negative coefficient, indicating that higher leverage leads to lower Corporate Income Tax, likely due to increased interest expenses that reduce taxable income. In contrast, Profitability (NPM) and Liquidity (CR) exhibit p-values greater than 0.05, indicating that neither variable has a significant effect on Corporate Income Tax. Thus, </w:t>
      </w:r>
      <w:r>
        <w:rPr>
          <w:b w:val="0"/>
          <w:bCs w:val="0"/>
          <w:color w:val="000000"/>
        </w:rPr>
        <w:lastRenderedPageBreak/>
        <w:t>among the four independent variables examined, only Operating Cash Flow and Leverage are empirically supported as significant determinants of Corporate Income Tax in this study.</w:t>
      </w:r>
    </w:p>
    <w:p w14:paraId="01FE79EF" w14:textId="77777777" w:rsidR="00EE5DFE" w:rsidRDefault="00EE5DFE">
      <w:pPr>
        <w:pBdr>
          <w:top w:val="nil"/>
          <w:left w:val="nil"/>
          <w:bottom w:val="nil"/>
          <w:right w:val="nil"/>
          <w:between w:val="nil"/>
        </w:pBdr>
        <w:spacing w:line="228" w:lineRule="auto"/>
        <w:ind w:left="2608"/>
        <w:rPr>
          <w:color w:val="000000"/>
          <w:sz w:val="24"/>
          <w:szCs w:val="24"/>
        </w:rPr>
      </w:pPr>
    </w:p>
    <w:p w14:paraId="1A9878C7" w14:textId="77777777" w:rsidR="00EE5DFE" w:rsidRDefault="00000000">
      <w:pPr>
        <w:pBdr>
          <w:top w:val="nil"/>
          <w:left w:val="nil"/>
          <w:bottom w:val="nil"/>
          <w:right w:val="nil"/>
          <w:between w:val="nil"/>
        </w:pBdr>
        <w:spacing w:line="228" w:lineRule="auto"/>
        <w:ind w:left="2608"/>
        <w:rPr>
          <w:b w:val="0"/>
          <w:bCs w:val="0"/>
          <w:color w:val="000000"/>
        </w:rPr>
      </w:pPr>
      <w:r>
        <w:rPr>
          <w:color w:val="000000"/>
          <w:sz w:val="24"/>
          <w:szCs w:val="24"/>
        </w:rPr>
        <w:t>Discussion</w:t>
      </w:r>
    </w:p>
    <w:p w14:paraId="665E318D" w14:textId="77777777" w:rsidR="00EE5DFE" w:rsidRDefault="00000000">
      <w:pPr>
        <w:pBdr>
          <w:top w:val="nil"/>
          <w:left w:val="nil"/>
          <w:bottom w:val="nil"/>
          <w:right w:val="nil"/>
          <w:between w:val="nil"/>
        </w:pBdr>
        <w:spacing w:line="228" w:lineRule="auto"/>
        <w:ind w:left="2608"/>
        <w:rPr>
          <w:color w:val="000000"/>
        </w:rPr>
      </w:pPr>
      <w:r>
        <w:rPr>
          <w:color w:val="000000"/>
        </w:rPr>
        <w:t>Effect of Operating Cash Flow on Corporate Income Tax</w:t>
      </w:r>
    </w:p>
    <w:p w14:paraId="469FD519"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results indicate that Operating Cash Flow (OCFR) has a positive and significant effect on Corporate Income Tax, with a path coefficient of 0.234 and a p-value of 0.029 (&lt; 0.05). This finding suggests that higher operating cash flow increases a firm’s capacity to generate taxable income, which in turn leads to a higher corporate income tax burden. Although the effect size of OCFR is categorized as small (f² = 0.045), its contribution remains statistically relevant.</w:t>
      </w:r>
    </w:p>
    <w:p w14:paraId="7CBF08FA"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From the perspective of Agency Theory, management as the agent is responsible for managing operational activities efficiently to generate sufficient operating cash flow. An increase in operating cash flow reflects improved revenue-generating capacity, which subsequently raises taxable income and results in higher corporate income tax.</w:t>
      </w:r>
    </w:p>
    <w:p w14:paraId="47C86A69" w14:textId="18EF9E90"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This result is consistent with the findings of  as well as , who conclude that operating cash flow significantly affects corporate income tax. Both studies emphasize that operating cash flow represents a firm’s capacity to generate operational income that ultimately determines tax obligations. However, this finding differs , who report no significant effect of operating cash flow on corporate income tax. Therefore, this study strengthens the Agency Theory argument that managerial decisions in managing operating cash flows have direct implications for a firm’s tax position.</w:t>
      </w:r>
    </w:p>
    <w:p w14:paraId="6EA72744"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differences in empirical results may be influenced by industry characteristics. Consumer non-cyclicals firms, which are examined in this study, tend to face stable and recurring demand, resulting in relatively consistent operating cash flows that better reflect the firm’s ability to generate taxable income compared to other sectors. In addition, differences in observation periods and economic conditions may also contribute to these variations, as the consumer non-cyclicals sector generally demonstrates higher resilience to economic pressure. Consequently, operating cash flow performance in this sector plays a more substantial role in determining corporate income tax.</w:t>
      </w:r>
    </w:p>
    <w:p w14:paraId="1D9A55D7" w14:textId="77777777" w:rsidR="00EE5DFE" w:rsidRDefault="00EE5DFE">
      <w:pPr>
        <w:pBdr>
          <w:top w:val="nil"/>
          <w:left w:val="nil"/>
          <w:bottom w:val="nil"/>
          <w:right w:val="nil"/>
          <w:between w:val="nil"/>
        </w:pBdr>
        <w:spacing w:line="228" w:lineRule="auto"/>
        <w:ind w:left="2608"/>
        <w:rPr>
          <w:b w:val="0"/>
          <w:bCs w:val="0"/>
          <w:color w:val="000000"/>
        </w:rPr>
      </w:pPr>
    </w:p>
    <w:p w14:paraId="44DBCF94" w14:textId="77777777" w:rsidR="00EE5DFE" w:rsidRDefault="00000000">
      <w:pPr>
        <w:pBdr>
          <w:top w:val="nil"/>
          <w:left w:val="nil"/>
          <w:bottom w:val="nil"/>
          <w:right w:val="nil"/>
          <w:between w:val="nil"/>
        </w:pBdr>
        <w:spacing w:line="228" w:lineRule="auto"/>
        <w:ind w:left="2608"/>
        <w:rPr>
          <w:color w:val="000000"/>
        </w:rPr>
      </w:pPr>
      <w:r>
        <w:rPr>
          <w:color w:val="000000"/>
        </w:rPr>
        <w:t>Effect of Leverage on Corporate Income Tax</w:t>
      </w:r>
    </w:p>
    <w:p w14:paraId="3FB73CA1"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Based on the SEM-PLS analysis, leverage proxied by the Debt to Equity Ratio (DER) shows a negative and significant effect on Corporate Income Tax, with a path coefficient of –0.429 and a p-value of 0.016. This negative relationship indicates that higher leverage is associated with a lower corporate income tax burden. This finding can be explained by the tax shield mechanism, where interest expenses arising from debt financing reduce taxable income and consequently lower the amount of tax payable. With an effect size of 0.18, leverage demonstrates a moderate influence, making it an important factor in corporate financing decisions related to tax obligations.</w:t>
      </w:r>
    </w:p>
    <w:p w14:paraId="739DBA7C"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This negative relationship is consistent with the tax shield concept, whereby debt usage allows firms to reduce tax expenses through deductible interest costs. Within the framework of Agency Theory, this condition illustrates that management as the agent may strategically use debt-based financing structures to reduce tax burdens and optimize after-tax profits.</w:t>
      </w:r>
    </w:p>
    <w:p w14:paraId="05082AA0" w14:textId="4ADD99B4"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This finding aligns with the studies of  as well as , which report that DER significantly affects corporate income tax and reinforce the view that debt financing can serve as an effective tax management strategy. However, it contradicts the findings of , who conclude that leverage has no significant effect on corporate income tax. Overall, this study confirms that leverage is a crucial variable in understanding the relationship between capital structure and corporate tax obligations.</w:t>
      </w:r>
    </w:p>
    <w:p w14:paraId="2557EE1B" w14:textId="77777777" w:rsidR="00EE5DFE" w:rsidRDefault="00EE5DFE">
      <w:pPr>
        <w:pBdr>
          <w:top w:val="nil"/>
          <w:left w:val="nil"/>
          <w:bottom w:val="nil"/>
          <w:right w:val="nil"/>
          <w:between w:val="nil"/>
        </w:pBdr>
        <w:spacing w:line="228" w:lineRule="auto"/>
        <w:ind w:left="2608"/>
        <w:rPr>
          <w:b w:val="0"/>
          <w:bCs w:val="0"/>
          <w:color w:val="000000"/>
        </w:rPr>
      </w:pPr>
    </w:p>
    <w:p w14:paraId="39563B34" w14:textId="77777777" w:rsidR="00EE5DFE" w:rsidRDefault="00000000">
      <w:pPr>
        <w:pBdr>
          <w:top w:val="nil"/>
          <w:left w:val="nil"/>
          <w:bottom w:val="nil"/>
          <w:right w:val="nil"/>
          <w:between w:val="nil"/>
        </w:pBdr>
        <w:spacing w:line="228" w:lineRule="auto"/>
        <w:ind w:left="2608"/>
        <w:rPr>
          <w:color w:val="000000"/>
        </w:rPr>
      </w:pPr>
      <w:r>
        <w:rPr>
          <w:color w:val="000000"/>
        </w:rPr>
        <w:t>Effect of Profitability on Corporate Income Tax</w:t>
      </w:r>
    </w:p>
    <w:p w14:paraId="3C2A18FA"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Profitability proxied by Net Profit Margin (NPM) shows a negative but insignificant effect on Corporate Income Tax, with a path coefficient of –0.108 and a p-value of 0.44. This result indicates that an increase in profitability does not necessarily lead to a higher tax burden. High accounting profits may not be accompanied by strong cash flows due to factors such as uncollected receivables, non-cash expenses, or accounting practices that reduce taxable income.</w:t>
      </w:r>
    </w:p>
    <w:p w14:paraId="360CF58E" w14:textId="4204EDB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lastRenderedPageBreak/>
        <w:t>This finding is consistent with the view of , who argues that high accounting profits do not always reflect efficient profit generation, as profit composition may be influenced by non-operational factors or accounting adjustments. From the Agency Theory perspective, this insignificance may reflect the presence of earnings management or specific accounting policies implemented by management to manage both accounting and taxable income.</w:t>
      </w:r>
    </w:p>
    <w:p w14:paraId="2A350E0C" w14:textId="278FA800"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result is in line with the findings of , , and , who suggest that profitable firms tend to engage in efficiency efforts or legally acceptable tax avoidance strategies, thereby reducing tax burdens. However, this finding contrasts with the results of  and , which report that higher profitability leads to higher corporate income tax. These differences indicate that the relationship between profitability and corporate income tax is not always linear and is highly dependent on managerial policies.</w:t>
      </w:r>
    </w:p>
    <w:p w14:paraId="5068A472" w14:textId="77777777" w:rsidR="00EE5DFE" w:rsidRDefault="00EE5DFE">
      <w:pPr>
        <w:pBdr>
          <w:top w:val="nil"/>
          <w:left w:val="nil"/>
          <w:bottom w:val="nil"/>
          <w:right w:val="nil"/>
          <w:between w:val="nil"/>
        </w:pBdr>
        <w:spacing w:line="228" w:lineRule="auto"/>
        <w:ind w:left="2608" w:firstLine="425"/>
        <w:rPr>
          <w:b w:val="0"/>
          <w:bCs w:val="0"/>
          <w:color w:val="000000"/>
        </w:rPr>
      </w:pPr>
    </w:p>
    <w:p w14:paraId="59798B32" w14:textId="77777777" w:rsidR="00EE5DFE" w:rsidRDefault="00000000">
      <w:pPr>
        <w:pBdr>
          <w:top w:val="nil"/>
          <w:left w:val="nil"/>
          <w:bottom w:val="nil"/>
          <w:right w:val="nil"/>
          <w:between w:val="nil"/>
        </w:pBdr>
        <w:spacing w:line="228" w:lineRule="auto"/>
        <w:ind w:left="2608"/>
        <w:rPr>
          <w:color w:val="000000"/>
        </w:rPr>
      </w:pPr>
      <w:r>
        <w:rPr>
          <w:color w:val="000000"/>
        </w:rPr>
        <w:t>Effect of Liquidity on Corporate Income Tax</w:t>
      </w:r>
    </w:p>
    <w:p w14:paraId="26DDD894"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Liquidity proxied by the Current Ratio (CR) shows a negative but insignificant effect on Corporate Income Tax, with a path coefficient of –0.166 and a p-value of 0.364. Although the relationship is negative, the effect size of 0.023 indicates that liquidity contributes minimally to explaining variations in corporate income tax.</w:t>
      </w:r>
    </w:p>
    <w:p w14:paraId="27CA7052"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This finding suggests that a firm’s ability to meet short-term obligations does not directly determine its corporate tax burden. From the Agency Theory perspective, management as the agent may prioritize liquidity management to maintain operational stability rather than using liquidity as a determinant of tax strategy. A firm may have high liquidity without a corresponding increase in taxable income, resulting in no significant impact on corporate income tax.</w:t>
      </w:r>
    </w:p>
    <w:p w14:paraId="1C43C95E" w14:textId="2ECA80FF"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 xml:space="preserve">This result is consistent with the findings of  and , who also report that liquidity does not significantly affect corporate income tax. Previous studies indicate that the relationship between liquidity and corporate taxation largely depends on how firms manage current assets and short-term liabilities. Moreover, high liquidity does not necessarily reflect higher taxable income, as firms may hold substantial cash without an increase in tax-generating operational </w:t>
      </w:r>
    </w:p>
    <w:p w14:paraId="6F90CAE0" w14:textId="77777777" w:rsidR="00EE5DFE" w:rsidRDefault="00000000">
      <w:pPr>
        <w:pBdr>
          <w:top w:val="nil"/>
          <w:left w:val="nil"/>
          <w:bottom w:val="nil"/>
          <w:right w:val="nil"/>
          <w:between w:val="nil"/>
        </w:pBdr>
        <w:spacing w:before="240" w:after="60" w:line="228" w:lineRule="auto"/>
        <w:ind w:left="2608"/>
        <w:jc w:val="left"/>
        <w:rPr>
          <w:color w:val="000000"/>
          <w:sz w:val="24"/>
          <w:szCs w:val="24"/>
        </w:rPr>
      </w:pPr>
      <w:r>
        <w:rPr>
          <w:color w:val="000000"/>
          <w:sz w:val="24"/>
          <w:szCs w:val="24"/>
        </w:rPr>
        <w:t>5. Conclusion</w:t>
      </w:r>
    </w:p>
    <w:p w14:paraId="20C3E844"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This study examines the effect of Operating Cash Flow, Leverage, Profitability, and Liquidity on Corporate Income Tax (CIT) in Consumer Non-Cyclical companies during the 2021–2024 period using the SEM-PLS method. The findings indicate that Operating Cash Flow has a significant positive effect on Corporate Income Tax, suggesting that a stronger ability to generate operating cash increases taxable income. Leverage shows a significant negative effect, confirming the existence of a tax shield mechanism whereby the use of debt reduces the corporate tax burden through interest expenses. In contrast, Profitability and Liquidity do not have a significant effect on Corporate Income Tax, implying that accounting profit performance and short-term financial capability are not always directly reflected in the amount of income tax paid.</w:t>
      </w:r>
    </w:p>
    <w:p w14:paraId="4E669A96"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The research model demonstrates limited predictive power, indicating that the selected variables explain only a small proportion of the variation in Corporate Income Tax. In addition, the focus on a single sector with a relatively small sample size necessitates caution in generalizing the results. Nevertheless, this study offers meaningful implications. Management should strategically manage operating cash flow and capital structure to balance operational requirements and tax obligations. Investors may consider leverage and cash flow indicators when evaluating corporate tax risk, while regulators may strengthen oversight of firms with high debt levels that potentially utilize interest expenses as part of tax planning strategies.</w:t>
      </w:r>
    </w:p>
    <w:p w14:paraId="6AEFADCE" w14:textId="77777777" w:rsidR="00EE5DFE" w:rsidRDefault="00000000">
      <w:pPr>
        <w:pBdr>
          <w:top w:val="nil"/>
          <w:left w:val="nil"/>
          <w:bottom w:val="nil"/>
          <w:right w:val="nil"/>
          <w:between w:val="nil"/>
        </w:pBdr>
        <w:spacing w:line="228" w:lineRule="auto"/>
        <w:ind w:left="2608" w:firstLine="425"/>
        <w:rPr>
          <w:b w:val="0"/>
          <w:bCs w:val="0"/>
          <w:color w:val="000000"/>
        </w:rPr>
      </w:pPr>
      <w:r>
        <w:rPr>
          <w:b w:val="0"/>
          <w:bCs w:val="0"/>
          <w:color w:val="000000"/>
        </w:rPr>
        <w:t>Future studies are encouraged to incorporate additional variables, such as capital intensity, tax management strategies, and firm size, as well as to expand sectoral coverage and observation periods to enhance the robustness and generalizability of the findings.</w:t>
      </w:r>
    </w:p>
    <w:p w14:paraId="07EBAE27" w14:textId="77777777" w:rsidR="00EE5DFE" w:rsidRDefault="00000000">
      <w:pPr>
        <w:pBdr>
          <w:top w:val="nil"/>
          <w:left w:val="nil"/>
          <w:bottom w:val="nil"/>
          <w:right w:val="nil"/>
          <w:between w:val="nil"/>
        </w:pBdr>
        <w:spacing w:before="240" w:after="60" w:line="228" w:lineRule="auto"/>
        <w:jc w:val="left"/>
        <w:rPr>
          <w:color w:val="000000"/>
          <w:sz w:val="24"/>
          <w:szCs w:val="24"/>
        </w:rPr>
      </w:pPr>
      <w:r>
        <w:rPr>
          <w:color w:val="000000"/>
          <w:sz w:val="24"/>
          <w:szCs w:val="24"/>
        </w:rPr>
        <w:t>References</w:t>
      </w:r>
    </w:p>
    <w:p w14:paraId="662BFCB9"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Ahmed, F., Rahman, M. U., Rehman, H. M., Imran, M., Dunay, A., &amp; Hossain, M. B. (2024). Corporate capital structure effects on corporate performance pursuing a strategy of innovation in manufacturing companies. </w:t>
      </w:r>
      <w:proofErr w:type="spellStart"/>
      <w:r w:rsidRPr="00AB1711">
        <w:rPr>
          <w:b w:val="0"/>
          <w:bCs w:val="0"/>
          <w:i/>
          <w:iCs/>
          <w:sz w:val="20"/>
          <w:szCs w:val="20"/>
          <w:lang w:val="en-ID"/>
        </w:rPr>
        <w:t>Heliyon</w:t>
      </w:r>
      <w:proofErr w:type="spellEnd"/>
      <w:r w:rsidRPr="00AB1711">
        <w:rPr>
          <w:b w:val="0"/>
          <w:bCs w:val="0"/>
          <w:i/>
          <w:iCs/>
          <w:sz w:val="20"/>
          <w:szCs w:val="20"/>
          <w:lang w:val="en-ID"/>
        </w:rPr>
        <w:t>, 10</w:t>
      </w:r>
      <w:r w:rsidRPr="00AB1711">
        <w:rPr>
          <w:b w:val="0"/>
          <w:bCs w:val="0"/>
          <w:sz w:val="20"/>
          <w:szCs w:val="20"/>
          <w:lang w:val="en-ID"/>
        </w:rPr>
        <w:t xml:space="preserve">(3). </w:t>
      </w:r>
      <w:hyperlink r:id="rId11" w:tgtFrame="_new" w:history="1">
        <w:r w:rsidRPr="00AB1711">
          <w:rPr>
            <w:rStyle w:val="Hyperlink"/>
            <w:b w:val="0"/>
            <w:bCs w:val="0"/>
            <w:sz w:val="20"/>
            <w:szCs w:val="20"/>
            <w:lang w:val="en-ID"/>
          </w:rPr>
          <w:t>https://doi.org/10.1016/j.heliyon.2024.e24677</w:t>
        </w:r>
      </w:hyperlink>
    </w:p>
    <w:p w14:paraId="408B3C88"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Amelia, Y., &amp; </w:t>
      </w:r>
      <w:proofErr w:type="spellStart"/>
      <w:r w:rsidRPr="00AB1711">
        <w:rPr>
          <w:b w:val="0"/>
          <w:bCs w:val="0"/>
          <w:sz w:val="20"/>
          <w:szCs w:val="20"/>
          <w:lang w:val="en-ID"/>
        </w:rPr>
        <w:t>Suharyadi</w:t>
      </w:r>
      <w:proofErr w:type="spellEnd"/>
      <w:r w:rsidRPr="00AB1711">
        <w:rPr>
          <w:b w:val="0"/>
          <w:bCs w:val="0"/>
          <w:sz w:val="20"/>
          <w:szCs w:val="20"/>
          <w:lang w:val="en-ID"/>
        </w:rPr>
        <w:t xml:space="preserve">, F. (2018).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arus</w:t>
      </w:r>
      <w:proofErr w:type="spellEnd"/>
      <w:r w:rsidRPr="00AB1711">
        <w:rPr>
          <w:b w:val="0"/>
          <w:bCs w:val="0"/>
          <w:sz w:val="20"/>
          <w:szCs w:val="20"/>
          <w:lang w:val="en-ID"/>
        </w:rPr>
        <w:t xml:space="preserve"> kas </w:t>
      </w:r>
      <w:proofErr w:type="spellStart"/>
      <w:r w:rsidRPr="00AB1711">
        <w:rPr>
          <w:b w:val="0"/>
          <w:bCs w:val="0"/>
          <w:sz w:val="20"/>
          <w:szCs w:val="20"/>
          <w:lang w:val="en-ID"/>
        </w:rPr>
        <w:t>operasi</w:t>
      </w:r>
      <w:proofErr w:type="spellEnd"/>
      <w:r w:rsidRPr="00AB1711">
        <w:rPr>
          <w:b w:val="0"/>
          <w:bCs w:val="0"/>
          <w:sz w:val="20"/>
          <w:szCs w:val="20"/>
          <w:lang w:val="en-ID"/>
        </w:rPr>
        <w:t xml:space="preserve">, total </w:t>
      </w:r>
      <w:proofErr w:type="spellStart"/>
      <w:r w:rsidRPr="00AB1711">
        <w:rPr>
          <w:b w:val="0"/>
          <w:bCs w:val="0"/>
          <w:sz w:val="20"/>
          <w:szCs w:val="20"/>
          <w:lang w:val="en-ID"/>
        </w:rPr>
        <w:t>hutang</w:t>
      </w:r>
      <w:proofErr w:type="spellEnd"/>
      <w:r w:rsidRPr="00AB1711">
        <w:rPr>
          <w:b w:val="0"/>
          <w:bCs w:val="0"/>
          <w:sz w:val="20"/>
          <w:szCs w:val="20"/>
          <w:lang w:val="en-ID"/>
        </w:rPr>
        <w:t xml:space="preserve">, dan </w:t>
      </w:r>
      <w:proofErr w:type="spellStart"/>
      <w:r w:rsidRPr="00AB1711">
        <w:rPr>
          <w:b w:val="0"/>
          <w:bCs w:val="0"/>
          <w:sz w:val="20"/>
          <w:szCs w:val="20"/>
          <w:lang w:val="en-ID"/>
        </w:rPr>
        <w:t>ekuitas</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Studi Ekonomika, 16</w:t>
      </w:r>
      <w:r w:rsidRPr="00AB1711">
        <w:rPr>
          <w:b w:val="0"/>
          <w:bCs w:val="0"/>
          <w:sz w:val="20"/>
          <w:szCs w:val="20"/>
          <w:lang w:val="en-ID"/>
        </w:rPr>
        <w:t xml:space="preserve">(2). </w:t>
      </w:r>
      <w:hyperlink r:id="rId12" w:tgtFrame="_new" w:history="1">
        <w:r w:rsidRPr="00AB1711">
          <w:rPr>
            <w:rStyle w:val="Hyperlink"/>
            <w:b w:val="0"/>
            <w:bCs w:val="0"/>
            <w:sz w:val="20"/>
            <w:szCs w:val="20"/>
            <w:lang w:val="en-ID"/>
          </w:rPr>
          <w:t>https://doi.org/10.70142/studiaekonomika.v16i2.108</w:t>
        </w:r>
      </w:hyperlink>
    </w:p>
    <w:p w14:paraId="389DFE2E"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lastRenderedPageBreak/>
        <w:t xml:space="preserve">Badan Pusat </w:t>
      </w:r>
      <w:proofErr w:type="spellStart"/>
      <w:r w:rsidRPr="00AB1711">
        <w:rPr>
          <w:b w:val="0"/>
          <w:bCs w:val="0"/>
          <w:sz w:val="20"/>
          <w:szCs w:val="20"/>
          <w:lang w:val="en-ID"/>
        </w:rPr>
        <w:t>Statistik</w:t>
      </w:r>
      <w:proofErr w:type="spellEnd"/>
      <w:r w:rsidRPr="00AB1711">
        <w:rPr>
          <w:b w:val="0"/>
          <w:bCs w:val="0"/>
          <w:sz w:val="20"/>
          <w:szCs w:val="20"/>
          <w:lang w:val="en-ID"/>
        </w:rPr>
        <w:t xml:space="preserve">. (2024). </w:t>
      </w:r>
      <w:proofErr w:type="spellStart"/>
      <w:r w:rsidRPr="00AB1711">
        <w:rPr>
          <w:b w:val="0"/>
          <w:bCs w:val="0"/>
          <w:i/>
          <w:iCs/>
          <w:sz w:val="20"/>
          <w:szCs w:val="20"/>
          <w:lang w:val="en-ID"/>
        </w:rPr>
        <w:t>Statistik</w:t>
      </w:r>
      <w:proofErr w:type="spellEnd"/>
      <w:r w:rsidRPr="00AB1711">
        <w:rPr>
          <w:b w:val="0"/>
          <w:bCs w:val="0"/>
          <w:i/>
          <w:iCs/>
          <w:sz w:val="20"/>
          <w:szCs w:val="20"/>
          <w:lang w:val="en-ID"/>
        </w:rPr>
        <w:t xml:space="preserve"> Indonesia </w:t>
      </w:r>
      <w:proofErr w:type="spellStart"/>
      <w:r w:rsidRPr="00AB1711">
        <w:rPr>
          <w:b w:val="0"/>
          <w:bCs w:val="0"/>
          <w:i/>
          <w:iCs/>
          <w:sz w:val="20"/>
          <w:szCs w:val="20"/>
          <w:lang w:val="en-ID"/>
        </w:rPr>
        <w:t>dalam</w:t>
      </w:r>
      <w:proofErr w:type="spellEnd"/>
      <w:r w:rsidRPr="00AB1711">
        <w:rPr>
          <w:b w:val="0"/>
          <w:bCs w:val="0"/>
          <w:i/>
          <w:iCs/>
          <w:sz w:val="20"/>
          <w:szCs w:val="20"/>
          <w:lang w:val="en-ID"/>
        </w:rPr>
        <w:t xml:space="preserve"> </w:t>
      </w:r>
      <w:proofErr w:type="spellStart"/>
      <w:r w:rsidRPr="00AB1711">
        <w:rPr>
          <w:b w:val="0"/>
          <w:bCs w:val="0"/>
          <w:i/>
          <w:iCs/>
          <w:sz w:val="20"/>
          <w:szCs w:val="20"/>
          <w:lang w:val="en-ID"/>
        </w:rPr>
        <w:t>infografis</w:t>
      </w:r>
      <w:proofErr w:type="spellEnd"/>
      <w:r w:rsidRPr="00AB1711">
        <w:rPr>
          <w:b w:val="0"/>
          <w:bCs w:val="0"/>
          <w:i/>
          <w:iCs/>
          <w:sz w:val="20"/>
          <w:szCs w:val="20"/>
          <w:lang w:val="en-ID"/>
        </w:rPr>
        <w:t xml:space="preserve"> 2024</w:t>
      </w:r>
      <w:r w:rsidRPr="00AB1711">
        <w:rPr>
          <w:b w:val="0"/>
          <w:bCs w:val="0"/>
          <w:sz w:val="20"/>
          <w:szCs w:val="20"/>
          <w:lang w:val="en-ID"/>
        </w:rPr>
        <w:t xml:space="preserve">. </w:t>
      </w:r>
      <w:hyperlink r:id="rId13" w:tgtFrame="_new" w:history="1">
        <w:r w:rsidRPr="00AB1711">
          <w:rPr>
            <w:rStyle w:val="Hyperlink"/>
            <w:b w:val="0"/>
            <w:bCs w:val="0"/>
            <w:sz w:val="20"/>
            <w:szCs w:val="20"/>
            <w:lang w:val="en-ID"/>
          </w:rPr>
          <w:t>https://www.bps.go.id/id/publication/2024/09/26/a88a6f32c79e2d992331d9eb/statistik-indonesia-dalam-infografis-2024.html</w:t>
        </w:r>
      </w:hyperlink>
    </w:p>
    <w:p w14:paraId="202CFD36"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Christy, P. G. (2023). Effect of profitability, liquidity and leverage on tax aggressiveness. </w:t>
      </w:r>
      <w:r w:rsidRPr="00AB1711">
        <w:rPr>
          <w:b w:val="0"/>
          <w:bCs w:val="0"/>
          <w:i/>
          <w:iCs/>
          <w:sz w:val="20"/>
          <w:szCs w:val="20"/>
          <w:lang w:val="en-ID"/>
        </w:rPr>
        <w:t>Journal World Conference, 5</w:t>
      </w:r>
      <w:r w:rsidRPr="00AB1711">
        <w:rPr>
          <w:b w:val="0"/>
          <w:bCs w:val="0"/>
          <w:sz w:val="20"/>
          <w:szCs w:val="20"/>
          <w:lang w:val="en-ID"/>
        </w:rPr>
        <w:t xml:space="preserve">(1). </w:t>
      </w:r>
      <w:hyperlink r:id="rId14" w:tgtFrame="_new" w:history="1">
        <w:r w:rsidRPr="00AB1711">
          <w:rPr>
            <w:rStyle w:val="Hyperlink"/>
            <w:b w:val="0"/>
            <w:bCs w:val="0"/>
            <w:sz w:val="20"/>
            <w:szCs w:val="20"/>
            <w:lang w:val="en-ID"/>
          </w:rPr>
          <w:t>https://proceedings.worldconference.id/index.php/prd/article/view/470</w:t>
        </w:r>
      </w:hyperlink>
    </w:p>
    <w:p w14:paraId="78FAB391"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Daeli</w:t>
      </w:r>
      <w:proofErr w:type="spellEnd"/>
      <w:r w:rsidRPr="00AB1711">
        <w:rPr>
          <w:b w:val="0"/>
          <w:bCs w:val="0"/>
          <w:sz w:val="20"/>
          <w:szCs w:val="20"/>
          <w:lang w:val="en-ID"/>
        </w:rPr>
        <w:t xml:space="preserve">, I., &amp; Izzah, N. (2023). </w:t>
      </w:r>
      <w:proofErr w:type="spellStart"/>
      <w:r w:rsidRPr="00AB1711">
        <w:rPr>
          <w:b w:val="0"/>
          <w:bCs w:val="0"/>
          <w:sz w:val="20"/>
          <w:szCs w:val="20"/>
          <w:lang w:val="en-ID"/>
        </w:rPr>
        <w:t>Pengaruh</w:t>
      </w:r>
      <w:proofErr w:type="spellEnd"/>
      <w:r w:rsidRPr="00AB1711">
        <w:rPr>
          <w:b w:val="0"/>
          <w:bCs w:val="0"/>
          <w:sz w:val="20"/>
          <w:szCs w:val="20"/>
          <w:lang w:val="en-ID"/>
        </w:rPr>
        <w:t xml:space="preserve"> debt to ratio, return on sales, dan </w:t>
      </w:r>
      <w:proofErr w:type="spellStart"/>
      <w:r w:rsidRPr="00AB1711">
        <w:rPr>
          <w:b w:val="0"/>
          <w:bCs w:val="0"/>
          <w:sz w:val="20"/>
          <w:szCs w:val="20"/>
          <w:lang w:val="en-ID"/>
        </w:rPr>
        <w:t>rasio</w:t>
      </w:r>
      <w:proofErr w:type="spellEnd"/>
      <w:r w:rsidRPr="00AB1711">
        <w:rPr>
          <w:b w:val="0"/>
          <w:bCs w:val="0"/>
          <w:sz w:val="20"/>
          <w:szCs w:val="20"/>
          <w:lang w:val="en-ID"/>
        </w:rPr>
        <w:t xml:space="preserve"> </w:t>
      </w:r>
      <w:proofErr w:type="spellStart"/>
      <w:r w:rsidRPr="00AB1711">
        <w:rPr>
          <w:b w:val="0"/>
          <w:bCs w:val="0"/>
          <w:sz w:val="20"/>
          <w:szCs w:val="20"/>
          <w:lang w:val="en-ID"/>
        </w:rPr>
        <w:t>arus</w:t>
      </w:r>
      <w:proofErr w:type="spellEnd"/>
      <w:r w:rsidRPr="00AB1711">
        <w:rPr>
          <w:b w:val="0"/>
          <w:bCs w:val="0"/>
          <w:sz w:val="20"/>
          <w:szCs w:val="20"/>
          <w:lang w:val="en-ID"/>
        </w:rPr>
        <w:t xml:space="preserve"> kas </w:t>
      </w:r>
      <w:proofErr w:type="spellStart"/>
      <w:r w:rsidRPr="00AB1711">
        <w:rPr>
          <w:b w:val="0"/>
          <w:bCs w:val="0"/>
          <w:sz w:val="20"/>
          <w:szCs w:val="20"/>
          <w:lang w:val="en-ID"/>
        </w:rPr>
        <w:t>operasional</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proofErr w:type="spellStart"/>
      <w:r w:rsidRPr="00AB1711">
        <w:rPr>
          <w:b w:val="0"/>
          <w:bCs w:val="0"/>
          <w:sz w:val="20"/>
          <w:szCs w:val="20"/>
          <w:lang w:val="en-ID"/>
        </w:rPr>
        <w:t>terutang</w:t>
      </w:r>
      <w:proofErr w:type="spellEnd"/>
      <w:r w:rsidRPr="00AB1711">
        <w:rPr>
          <w:b w:val="0"/>
          <w:bCs w:val="0"/>
          <w:sz w:val="20"/>
          <w:szCs w:val="20"/>
          <w:lang w:val="en-ID"/>
        </w:rPr>
        <w:t xml:space="preserve">. </w:t>
      </w:r>
      <w:r w:rsidRPr="00AB1711">
        <w:rPr>
          <w:b w:val="0"/>
          <w:bCs w:val="0"/>
          <w:i/>
          <w:iCs/>
          <w:sz w:val="20"/>
          <w:szCs w:val="20"/>
          <w:lang w:val="en-ID"/>
        </w:rPr>
        <w:t>Student Scientific Creativity Journal, 1</w:t>
      </w:r>
      <w:r w:rsidRPr="00AB1711">
        <w:rPr>
          <w:b w:val="0"/>
          <w:bCs w:val="0"/>
          <w:sz w:val="20"/>
          <w:szCs w:val="20"/>
          <w:lang w:val="en-ID"/>
        </w:rPr>
        <w:t xml:space="preserve">(2). </w:t>
      </w:r>
      <w:hyperlink r:id="rId15" w:tgtFrame="_new" w:history="1">
        <w:r w:rsidRPr="00AB1711">
          <w:rPr>
            <w:rStyle w:val="Hyperlink"/>
            <w:b w:val="0"/>
            <w:bCs w:val="0"/>
            <w:sz w:val="20"/>
            <w:szCs w:val="20"/>
            <w:lang w:val="en-ID"/>
          </w:rPr>
          <w:t>https://doi.org/10.55606/sscj-amik.v1i1.1120</w:t>
        </w:r>
      </w:hyperlink>
    </w:p>
    <w:p w14:paraId="44C7AF4C"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Ega, K. A., &amp; </w:t>
      </w:r>
      <w:proofErr w:type="spellStart"/>
      <w:r w:rsidRPr="00AB1711">
        <w:rPr>
          <w:b w:val="0"/>
          <w:bCs w:val="0"/>
          <w:sz w:val="20"/>
          <w:szCs w:val="20"/>
          <w:lang w:val="en-ID"/>
        </w:rPr>
        <w:t>Handayani</w:t>
      </w:r>
      <w:proofErr w:type="spellEnd"/>
      <w:r w:rsidRPr="00AB1711">
        <w:rPr>
          <w:b w:val="0"/>
          <w:bCs w:val="0"/>
          <w:sz w:val="20"/>
          <w:szCs w:val="20"/>
          <w:lang w:val="en-ID"/>
        </w:rPr>
        <w:t xml:space="preserve">. (2024). Influence of operating cash flow and company size on tax avoidance in consumer goods companies listed on the IDX.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Ilmiah</w:t>
      </w:r>
      <w:proofErr w:type="spellEnd"/>
      <w:r w:rsidRPr="00AB1711">
        <w:rPr>
          <w:b w:val="0"/>
          <w:bCs w:val="0"/>
          <w:i/>
          <w:iCs/>
          <w:sz w:val="20"/>
          <w:szCs w:val="20"/>
          <w:lang w:val="en-ID"/>
        </w:rPr>
        <w:t xml:space="preserve"> Wahana Akuntansi, 18</w:t>
      </w:r>
      <w:r w:rsidRPr="00AB1711">
        <w:rPr>
          <w:b w:val="0"/>
          <w:bCs w:val="0"/>
          <w:sz w:val="20"/>
          <w:szCs w:val="20"/>
          <w:lang w:val="en-ID"/>
        </w:rPr>
        <w:t xml:space="preserve">(2). </w:t>
      </w:r>
      <w:hyperlink r:id="rId16" w:tgtFrame="_new" w:history="1">
        <w:r w:rsidRPr="00AB1711">
          <w:rPr>
            <w:rStyle w:val="Hyperlink"/>
            <w:b w:val="0"/>
            <w:bCs w:val="0"/>
            <w:sz w:val="20"/>
            <w:szCs w:val="20"/>
            <w:lang w:val="en-ID"/>
          </w:rPr>
          <w:t>https://doi.org/10.21009/Wahana.18.027</w:t>
        </w:r>
      </w:hyperlink>
    </w:p>
    <w:p w14:paraId="3B9CC68F"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Hair, J. F., Risher, J. J., Sarstedt, M., &amp; Ringle, C. M. (2019). When to use and how to report the results of PLS-SEM. </w:t>
      </w:r>
      <w:r w:rsidRPr="00AB1711">
        <w:rPr>
          <w:b w:val="0"/>
          <w:bCs w:val="0"/>
          <w:i/>
          <w:iCs/>
          <w:sz w:val="20"/>
          <w:szCs w:val="20"/>
          <w:lang w:val="en-ID"/>
        </w:rPr>
        <w:t>European Business Review, 31</w:t>
      </w:r>
      <w:r w:rsidRPr="00AB1711">
        <w:rPr>
          <w:b w:val="0"/>
          <w:bCs w:val="0"/>
          <w:sz w:val="20"/>
          <w:szCs w:val="20"/>
          <w:lang w:val="en-ID"/>
        </w:rPr>
        <w:t xml:space="preserve">(1), 2–24. </w:t>
      </w:r>
      <w:hyperlink r:id="rId17" w:tgtFrame="_new" w:history="1">
        <w:r w:rsidRPr="00AB1711">
          <w:rPr>
            <w:rStyle w:val="Hyperlink"/>
            <w:b w:val="0"/>
            <w:bCs w:val="0"/>
            <w:sz w:val="20"/>
            <w:szCs w:val="20"/>
            <w:lang w:val="en-ID"/>
          </w:rPr>
          <w:t>https://doi.org/10.1108/EBR-11-2018-0203</w:t>
        </w:r>
      </w:hyperlink>
    </w:p>
    <w:p w14:paraId="087A2E86"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Hair, J. F., Sarstedt, M., Hopkins, L., &amp; </w:t>
      </w:r>
      <w:proofErr w:type="spellStart"/>
      <w:r w:rsidRPr="00AB1711">
        <w:rPr>
          <w:b w:val="0"/>
          <w:bCs w:val="0"/>
          <w:sz w:val="20"/>
          <w:szCs w:val="20"/>
          <w:lang w:val="en-ID"/>
        </w:rPr>
        <w:t>Kuppelwieser</w:t>
      </w:r>
      <w:proofErr w:type="spellEnd"/>
      <w:r w:rsidRPr="00AB1711">
        <w:rPr>
          <w:b w:val="0"/>
          <w:bCs w:val="0"/>
          <w:sz w:val="20"/>
          <w:szCs w:val="20"/>
          <w:lang w:val="en-ID"/>
        </w:rPr>
        <w:t xml:space="preserve">, V. G. (2016). Partial least squares structural equation </w:t>
      </w:r>
      <w:proofErr w:type="spellStart"/>
      <w:r w:rsidRPr="00AB1711">
        <w:rPr>
          <w:b w:val="0"/>
          <w:bCs w:val="0"/>
          <w:sz w:val="20"/>
          <w:szCs w:val="20"/>
          <w:lang w:val="en-ID"/>
        </w:rPr>
        <w:t>modeling</w:t>
      </w:r>
      <w:proofErr w:type="spellEnd"/>
      <w:r w:rsidRPr="00AB1711">
        <w:rPr>
          <w:b w:val="0"/>
          <w:bCs w:val="0"/>
          <w:sz w:val="20"/>
          <w:szCs w:val="20"/>
          <w:lang w:val="en-ID"/>
        </w:rPr>
        <w:t xml:space="preserve"> (PLS-SEM): An emerging tool in business research. </w:t>
      </w:r>
      <w:r w:rsidRPr="00AB1711">
        <w:rPr>
          <w:b w:val="0"/>
          <w:bCs w:val="0"/>
          <w:i/>
          <w:iCs/>
          <w:sz w:val="20"/>
          <w:szCs w:val="20"/>
          <w:lang w:val="en-ID"/>
        </w:rPr>
        <w:t>European Business Review, 26</w:t>
      </w:r>
      <w:r w:rsidRPr="00AB1711">
        <w:rPr>
          <w:b w:val="0"/>
          <w:bCs w:val="0"/>
          <w:sz w:val="20"/>
          <w:szCs w:val="20"/>
          <w:lang w:val="en-ID"/>
        </w:rPr>
        <w:t xml:space="preserve">(2). </w:t>
      </w:r>
      <w:hyperlink r:id="rId18" w:tgtFrame="_new" w:history="1">
        <w:r w:rsidRPr="00AB1711">
          <w:rPr>
            <w:rStyle w:val="Hyperlink"/>
            <w:b w:val="0"/>
            <w:bCs w:val="0"/>
            <w:sz w:val="20"/>
            <w:szCs w:val="20"/>
            <w:lang w:val="en-ID"/>
          </w:rPr>
          <w:t>https://doi.org/10.1108/EBR-10-2013-0128</w:t>
        </w:r>
      </w:hyperlink>
    </w:p>
    <w:p w14:paraId="52578499"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Handayani</w:t>
      </w:r>
      <w:proofErr w:type="spellEnd"/>
      <w:r w:rsidRPr="00AB1711">
        <w:rPr>
          <w:b w:val="0"/>
          <w:bCs w:val="0"/>
          <w:sz w:val="20"/>
          <w:szCs w:val="20"/>
          <w:lang w:val="en-ID"/>
        </w:rPr>
        <w:t xml:space="preserve">, N. F., &amp; </w:t>
      </w:r>
      <w:proofErr w:type="spellStart"/>
      <w:r w:rsidRPr="00AB1711">
        <w:rPr>
          <w:b w:val="0"/>
          <w:bCs w:val="0"/>
          <w:sz w:val="20"/>
          <w:szCs w:val="20"/>
          <w:lang w:val="en-ID"/>
        </w:rPr>
        <w:t>Kholis</w:t>
      </w:r>
      <w:proofErr w:type="spellEnd"/>
      <w:r w:rsidRPr="00AB1711">
        <w:rPr>
          <w:b w:val="0"/>
          <w:bCs w:val="0"/>
          <w:sz w:val="20"/>
          <w:szCs w:val="20"/>
          <w:lang w:val="en-ID"/>
        </w:rPr>
        <w:t xml:space="preserve">, N. (2022).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profitabilitas</w:t>
      </w:r>
      <w:proofErr w:type="spellEnd"/>
      <w:r w:rsidRPr="00AB1711">
        <w:rPr>
          <w:b w:val="0"/>
          <w:bCs w:val="0"/>
          <w:sz w:val="20"/>
          <w:szCs w:val="20"/>
          <w:lang w:val="en-ID"/>
        </w:rPr>
        <w:t xml:space="preserve"> dan leverage pada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di </w:t>
      </w:r>
      <w:proofErr w:type="spellStart"/>
      <w:r w:rsidRPr="00AB1711">
        <w:rPr>
          <w:b w:val="0"/>
          <w:bCs w:val="0"/>
          <w:sz w:val="20"/>
          <w:szCs w:val="20"/>
          <w:lang w:val="en-ID"/>
        </w:rPr>
        <w:t>perusahaan</w:t>
      </w:r>
      <w:proofErr w:type="spellEnd"/>
      <w:r w:rsidRPr="00AB1711">
        <w:rPr>
          <w:b w:val="0"/>
          <w:bCs w:val="0"/>
          <w:sz w:val="20"/>
          <w:szCs w:val="20"/>
          <w:lang w:val="en-ID"/>
        </w:rPr>
        <w:t xml:space="preserve"> </w:t>
      </w:r>
      <w:proofErr w:type="spellStart"/>
      <w:r w:rsidRPr="00AB1711">
        <w:rPr>
          <w:b w:val="0"/>
          <w:bCs w:val="0"/>
          <w:sz w:val="20"/>
          <w:szCs w:val="20"/>
          <w:lang w:val="en-ID"/>
        </w:rPr>
        <w:t>manufaktur</w:t>
      </w:r>
      <w:proofErr w:type="spellEnd"/>
      <w:r w:rsidRPr="00AB1711">
        <w:rPr>
          <w:b w:val="0"/>
          <w:bCs w:val="0"/>
          <w:sz w:val="20"/>
          <w:szCs w:val="20"/>
          <w:lang w:val="en-ID"/>
        </w:rPr>
        <w:t xml:space="preserve">.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Akuntansi</w:t>
      </w:r>
      <w:proofErr w:type="spellEnd"/>
      <w:r w:rsidRPr="00AB1711">
        <w:rPr>
          <w:b w:val="0"/>
          <w:bCs w:val="0"/>
          <w:i/>
          <w:iCs/>
          <w:sz w:val="20"/>
          <w:szCs w:val="20"/>
          <w:lang w:val="en-ID"/>
        </w:rPr>
        <w:t xml:space="preserve"> dan </w:t>
      </w:r>
      <w:proofErr w:type="spellStart"/>
      <w:r w:rsidRPr="00AB1711">
        <w:rPr>
          <w:b w:val="0"/>
          <w:bCs w:val="0"/>
          <w:i/>
          <w:iCs/>
          <w:sz w:val="20"/>
          <w:szCs w:val="20"/>
          <w:lang w:val="en-ID"/>
        </w:rPr>
        <w:t>Keuangan</w:t>
      </w:r>
      <w:proofErr w:type="spellEnd"/>
      <w:r w:rsidRPr="00AB1711">
        <w:rPr>
          <w:b w:val="0"/>
          <w:bCs w:val="0"/>
          <w:i/>
          <w:iCs/>
          <w:sz w:val="20"/>
          <w:szCs w:val="20"/>
          <w:lang w:val="en-ID"/>
        </w:rPr>
        <w:t xml:space="preserve"> Daerah, 17</w:t>
      </w:r>
      <w:r w:rsidRPr="00AB1711">
        <w:rPr>
          <w:b w:val="0"/>
          <w:bCs w:val="0"/>
          <w:sz w:val="20"/>
          <w:szCs w:val="20"/>
          <w:lang w:val="en-ID"/>
        </w:rPr>
        <w:t xml:space="preserve">(1), 67–76. </w:t>
      </w:r>
      <w:hyperlink r:id="rId19" w:tgtFrame="_new" w:history="1">
        <w:r w:rsidRPr="00AB1711">
          <w:rPr>
            <w:rStyle w:val="Hyperlink"/>
            <w:b w:val="0"/>
            <w:bCs w:val="0"/>
            <w:sz w:val="20"/>
            <w:szCs w:val="20"/>
            <w:lang w:val="en-ID"/>
          </w:rPr>
          <w:t>https://doi.org/10.52062/jaked.v17i1.2329</w:t>
        </w:r>
      </w:hyperlink>
    </w:p>
    <w:p w14:paraId="0286CB16"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Handayani</w:t>
      </w:r>
      <w:proofErr w:type="spellEnd"/>
      <w:r w:rsidRPr="00AB1711">
        <w:rPr>
          <w:b w:val="0"/>
          <w:bCs w:val="0"/>
          <w:sz w:val="20"/>
          <w:szCs w:val="20"/>
          <w:lang w:val="en-ID"/>
        </w:rPr>
        <w:t xml:space="preserve">, &amp; </w:t>
      </w:r>
      <w:proofErr w:type="spellStart"/>
      <w:r w:rsidRPr="00AB1711">
        <w:rPr>
          <w:b w:val="0"/>
          <w:bCs w:val="0"/>
          <w:sz w:val="20"/>
          <w:szCs w:val="20"/>
          <w:lang w:val="en-ID"/>
        </w:rPr>
        <w:t>Kholis</w:t>
      </w:r>
      <w:proofErr w:type="spellEnd"/>
      <w:r w:rsidRPr="00AB1711">
        <w:rPr>
          <w:b w:val="0"/>
          <w:bCs w:val="0"/>
          <w:sz w:val="20"/>
          <w:szCs w:val="20"/>
          <w:lang w:val="en-ID"/>
        </w:rPr>
        <w:t xml:space="preserve">. (2022).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profitabilitas</w:t>
      </w:r>
      <w:proofErr w:type="spellEnd"/>
      <w:r w:rsidRPr="00AB1711">
        <w:rPr>
          <w:b w:val="0"/>
          <w:bCs w:val="0"/>
          <w:sz w:val="20"/>
          <w:szCs w:val="20"/>
          <w:lang w:val="en-ID"/>
        </w:rPr>
        <w:t xml:space="preserve"> dan leverage pada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di </w:t>
      </w:r>
      <w:proofErr w:type="spellStart"/>
      <w:r w:rsidRPr="00AB1711">
        <w:rPr>
          <w:b w:val="0"/>
          <w:bCs w:val="0"/>
          <w:sz w:val="20"/>
          <w:szCs w:val="20"/>
          <w:lang w:val="en-ID"/>
        </w:rPr>
        <w:t>perusahaan</w:t>
      </w:r>
      <w:proofErr w:type="spellEnd"/>
      <w:r w:rsidRPr="00AB1711">
        <w:rPr>
          <w:b w:val="0"/>
          <w:bCs w:val="0"/>
          <w:sz w:val="20"/>
          <w:szCs w:val="20"/>
          <w:lang w:val="en-ID"/>
        </w:rPr>
        <w:t xml:space="preserve"> </w:t>
      </w:r>
      <w:proofErr w:type="spellStart"/>
      <w:r w:rsidRPr="00AB1711">
        <w:rPr>
          <w:b w:val="0"/>
          <w:bCs w:val="0"/>
          <w:sz w:val="20"/>
          <w:szCs w:val="20"/>
          <w:lang w:val="en-ID"/>
        </w:rPr>
        <w:t>manufaktur</w:t>
      </w:r>
      <w:proofErr w:type="spellEnd"/>
      <w:r w:rsidRPr="00AB1711">
        <w:rPr>
          <w:b w:val="0"/>
          <w:bCs w:val="0"/>
          <w:sz w:val="20"/>
          <w:szCs w:val="20"/>
          <w:lang w:val="en-ID"/>
        </w:rPr>
        <w:t xml:space="preserve">.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Akuntansi</w:t>
      </w:r>
      <w:proofErr w:type="spellEnd"/>
      <w:r w:rsidRPr="00AB1711">
        <w:rPr>
          <w:b w:val="0"/>
          <w:bCs w:val="0"/>
          <w:i/>
          <w:iCs/>
          <w:sz w:val="20"/>
          <w:szCs w:val="20"/>
          <w:lang w:val="en-ID"/>
        </w:rPr>
        <w:t xml:space="preserve"> dan </w:t>
      </w:r>
      <w:proofErr w:type="spellStart"/>
      <w:r w:rsidRPr="00AB1711">
        <w:rPr>
          <w:b w:val="0"/>
          <w:bCs w:val="0"/>
          <w:i/>
          <w:iCs/>
          <w:sz w:val="20"/>
          <w:szCs w:val="20"/>
          <w:lang w:val="en-ID"/>
        </w:rPr>
        <w:t>Keuangan</w:t>
      </w:r>
      <w:proofErr w:type="spellEnd"/>
      <w:r w:rsidRPr="00AB1711">
        <w:rPr>
          <w:b w:val="0"/>
          <w:bCs w:val="0"/>
          <w:i/>
          <w:iCs/>
          <w:sz w:val="20"/>
          <w:szCs w:val="20"/>
          <w:lang w:val="en-ID"/>
        </w:rPr>
        <w:t xml:space="preserve"> Daerah, 17</w:t>
      </w:r>
      <w:r w:rsidRPr="00AB1711">
        <w:rPr>
          <w:b w:val="0"/>
          <w:bCs w:val="0"/>
          <w:sz w:val="20"/>
          <w:szCs w:val="20"/>
          <w:lang w:val="en-ID"/>
        </w:rPr>
        <w:t xml:space="preserve">(1). </w:t>
      </w:r>
      <w:hyperlink r:id="rId20" w:tgtFrame="_new" w:history="1">
        <w:r w:rsidRPr="00AB1711">
          <w:rPr>
            <w:rStyle w:val="Hyperlink"/>
            <w:b w:val="0"/>
            <w:bCs w:val="0"/>
            <w:sz w:val="20"/>
            <w:szCs w:val="20"/>
            <w:lang w:val="en-ID"/>
          </w:rPr>
          <w:t>https://doi.org/10.52062/jaked.v17i1.2329</w:t>
        </w:r>
      </w:hyperlink>
    </w:p>
    <w:p w14:paraId="0829B4E1"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Hendrik, A. K. S., &amp; Rahmawati, M. I. (2021).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profitabilitas</w:t>
      </w:r>
      <w:proofErr w:type="spellEnd"/>
      <w:r w:rsidRPr="00AB1711">
        <w:rPr>
          <w:b w:val="0"/>
          <w:bCs w:val="0"/>
          <w:sz w:val="20"/>
          <w:szCs w:val="20"/>
          <w:lang w:val="en-ID"/>
        </w:rPr>
        <w:t xml:space="preserve"> dan leverage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proofErr w:type="spellStart"/>
      <w:r w:rsidRPr="00AB1711">
        <w:rPr>
          <w:b w:val="0"/>
          <w:bCs w:val="0"/>
          <w:sz w:val="20"/>
          <w:szCs w:val="20"/>
          <w:lang w:val="en-ID"/>
        </w:rPr>
        <w:t>dengan</w:t>
      </w:r>
      <w:proofErr w:type="spellEnd"/>
      <w:r w:rsidRPr="00AB1711">
        <w:rPr>
          <w:b w:val="0"/>
          <w:bCs w:val="0"/>
          <w:sz w:val="20"/>
          <w:szCs w:val="20"/>
          <w:lang w:val="en-ID"/>
        </w:rPr>
        <w:t xml:space="preserve"> </w:t>
      </w:r>
      <w:proofErr w:type="spellStart"/>
      <w:r w:rsidRPr="00AB1711">
        <w:rPr>
          <w:b w:val="0"/>
          <w:bCs w:val="0"/>
          <w:sz w:val="20"/>
          <w:szCs w:val="20"/>
          <w:lang w:val="en-ID"/>
        </w:rPr>
        <w:t>biaya</w:t>
      </w:r>
      <w:proofErr w:type="spellEnd"/>
      <w:r w:rsidRPr="00AB1711">
        <w:rPr>
          <w:b w:val="0"/>
          <w:bCs w:val="0"/>
          <w:sz w:val="20"/>
          <w:szCs w:val="20"/>
          <w:lang w:val="en-ID"/>
        </w:rPr>
        <w:t xml:space="preserve"> </w:t>
      </w:r>
      <w:proofErr w:type="spellStart"/>
      <w:r w:rsidRPr="00AB1711">
        <w:rPr>
          <w:b w:val="0"/>
          <w:bCs w:val="0"/>
          <w:sz w:val="20"/>
          <w:szCs w:val="20"/>
          <w:lang w:val="en-ID"/>
        </w:rPr>
        <w:t>operasional</w:t>
      </w:r>
      <w:proofErr w:type="spellEnd"/>
      <w:r w:rsidRPr="00AB1711">
        <w:rPr>
          <w:b w:val="0"/>
          <w:bCs w:val="0"/>
          <w:sz w:val="20"/>
          <w:szCs w:val="20"/>
          <w:lang w:val="en-ID"/>
        </w:rPr>
        <w:t xml:space="preserve"> </w:t>
      </w:r>
      <w:proofErr w:type="spellStart"/>
      <w:r w:rsidRPr="00AB1711">
        <w:rPr>
          <w:b w:val="0"/>
          <w:bCs w:val="0"/>
          <w:sz w:val="20"/>
          <w:szCs w:val="20"/>
          <w:lang w:val="en-ID"/>
        </w:rPr>
        <w:t>sebagai</w:t>
      </w:r>
      <w:proofErr w:type="spellEnd"/>
      <w:r w:rsidRPr="00AB1711">
        <w:rPr>
          <w:b w:val="0"/>
          <w:bCs w:val="0"/>
          <w:sz w:val="20"/>
          <w:szCs w:val="20"/>
          <w:lang w:val="en-ID"/>
        </w:rPr>
        <w:t xml:space="preserve"> </w:t>
      </w:r>
      <w:proofErr w:type="spellStart"/>
      <w:r w:rsidRPr="00AB1711">
        <w:rPr>
          <w:b w:val="0"/>
          <w:bCs w:val="0"/>
          <w:sz w:val="20"/>
          <w:szCs w:val="20"/>
          <w:lang w:val="en-ID"/>
        </w:rPr>
        <w:t>variabel</w:t>
      </w:r>
      <w:proofErr w:type="spellEnd"/>
      <w:r w:rsidRPr="00AB1711">
        <w:rPr>
          <w:b w:val="0"/>
          <w:bCs w:val="0"/>
          <w:sz w:val="20"/>
          <w:szCs w:val="20"/>
          <w:lang w:val="en-ID"/>
        </w:rPr>
        <w:t xml:space="preserve"> moderating.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Ilmu</w:t>
      </w:r>
      <w:proofErr w:type="spellEnd"/>
      <w:r w:rsidRPr="00AB1711">
        <w:rPr>
          <w:b w:val="0"/>
          <w:bCs w:val="0"/>
          <w:i/>
          <w:iCs/>
          <w:sz w:val="20"/>
          <w:szCs w:val="20"/>
          <w:lang w:val="en-ID"/>
        </w:rPr>
        <w:t xml:space="preserve"> dan Riset Akuntansi, 10</w:t>
      </w:r>
      <w:r w:rsidRPr="00AB1711">
        <w:rPr>
          <w:b w:val="0"/>
          <w:bCs w:val="0"/>
          <w:sz w:val="20"/>
          <w:szCs w:val="20"/>
          <w:lang w:val="en-ID"/>
        </w:rPr>
        <w:t xml:space="preserve">(3). </w:t>
      </w:r>
      <w:hyperlink r:id="rId21" w:tgtFrame="_new" w:history="1">
        <w:r w:rsidRPr="00AB1711">
          <w:rPr>
            <w:rStyle w:val="Hyperlink"/>
            <w:b w:val="0"/>
            <w:bCs w:val="0"/>
            <w:sz w:val="20"/>
            <w:szCs w:val="20"/>
            <w:lang w:val="en-ID"/>
          </w:rPr>
          <w:t>https://jurnalmahasiswa.stiesia.ac.id/index.php/jira/article/view/3847</w:t>
        </w:r>
      </w:hyperlink>
    </w:p>
    <w:p w14:paraId="430CE3D2"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Inayati</w:t>
      </w:r>
      <w:proofErr w:type="spellEnd"/>
      <w:r w:rsidRPr="00AB1711">
        <w:rPr>
          <w:b w:val="0"/>
          <w:bCs w:val="0"/>
          <w:sz w:val="20"/>
          <w:szCs w:val="20"/>
          <w:lang w:val="en-ID"/>
        </w:rPr>
        <w:t xml:space="preserve">, &amp; Wardiningsih. (2021).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struktur</w:t>
      </w:r>
      <w:proofErr w:type="spellEnd"/>
      <w:r w:rsidRPr="00AB1711">
        <w:rPr>
          <w:b w:val="0"/>
          <w:bCs w:val="0"/>
          <w:sz w:val="20"/>
          <w:szCs w:val="20"/>
          <w:lang w:val="en-ID"/>
        </w:rPr>
        <w:t xml:space="preserve"> modal, </w:t>
      </w:r>
      <w:proofErr w:type="spellStart"/>
      <w:r w:rsidRPr="00AB1711">
        <w:rPr>
          <w:b w:val="0"/>
          <w:bCs w:val="0"/>
          <w:sz w:val="20"/>
          <w:szCs w:val="20"/>
          <w:lang w:val="en-ID"/>
        </w:rPr>
        <w:t>arus</w:t>
      </w:r>
      <w:proofErr w:type="spellEnd"/>
      <w:r w:rsidRPr="00AB1711">
        <w:rPr>
          <w:b w:val="0"/>
          <w:bCs w:val="0"/>
          <w:sz w:val="20"/>
          <w:szCs w:val="20"/>
          <w:lang w:val="en-ID"/>
        </w:rPr>
        <w:t xml:space="preserve"> kas, dan </w:t>
      </w:r>
      <w:proofErr w:type="spellStart"/>
      <w:r w:rsidRPr="00AB1711">
        <w:rPr>
          <w:b w:val="0"/>
          <w:bCs w:val="0"/>
          <w:sz w:val="20"/>
          <w:szCs w:val="20"/>
          <w:lang w:val="en-ID"/>
        </w:rPr>
        <w:t>piutang</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w:t>
      </w:r>
      <w:proofErr w:type="spellStart"/>
      <w:r w:rsidRPr="00AB1711">
        <w:rPr>
          <w:b w:val="0"/>
          <w:bCs w:val="0"/>
          <w:i/>
          <w:iCs/>
          <w:sz w:val="20"/>
          <w:szCs w:val="20"/>
          <w:lang w:val="en-ID"/>
        </w:rPr>
        <w:t>Aliansi</w:t>
      </w:r>
      <w:proofErr w:type="spellEnd"/>
      <w:r w:rsidRPr="00AB1711">
        <w:rPr>
          <w:b w:val="0"/>
          <w:bCs w:val="0"/>
          <w:i/>
          <w:iCs/>
          <w:sz w:val="20"/>
          <w:szCs w:val="20"/>
          <w:lang w:val="en-ID"/>
        </w:rPr>
        <w:t xml:space="preserve">: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Akuntansi</w:t>
      </w:r>
      <w:proofErr w:type="spellEnd"/>
      <w:r w:rsidRPr="00AB1711">
        <w:rPr>
          <w:b w:val="0"/>
          <w:bCs w:val="0"/>
          <w:i/>
          <w:iCs/>
          <w:sz w:val="20"/>
          <w:szCs w:val="20"/>
          <w:lang w:val="en-ID"/>
        </w:rPr>
        <w:t xml:space="preserve"> dan </w:t>
      </w:r>
      <w:proofErr w:type="spellStart"/>
      <w:r w:rsidRPr="00AB1711">
        <w:rPr>
          <w:b w:val="0"/>
          <w:bCs w:val="0"/>
          <w:i/>
          <w:iCs/>
          <w:sz w:val="20"/>
          <w:szCs w:val="20"/>
          <w:lang w:val="en-ID"/>
        </w:rPr>
        <w:t>Keuangan</w:t>
      </w:r>
      <w:proofErr w:type="spellEnd"/>
      <w:r w:rsidRPr="00AB1711">
        <w:rPr>
          <w:b w:val="0"/>
          <w:bCs w:val="0"/>
          <w:i/>
          <w:iCs/>
          <w:sz w:val="20"/>
          <w:szCs w:val="20"/>
          <w:lang w:val="en-ID"/>
        </w:rPr>
        <w:t xml:space="preserve"> Syariah, 6</w:t>
      </w:r>
      <w:r w:rsidRPr="00AB1711">
        <w:rPr>
          <w:b w:val="0"/>
          <w:bCs w:val="0"/>
          <w:sz w:val="20"/>
          <w:szCs w:val="20"/>
          <w:lang w:val="en-ID"/>
        </w:rPr>
        <w:t xml:space="preserve">(1). </w:t>
      </w:r>
      <w:hyperlink r:id="rId22" w:tgtFrame="_new" w:history="1">
        <w:r w:rsidRPr="00AB1711">
          <w:rPr>
            <w:rStyle w:val="Hyperlink"/>
            <w:b w:val="0"/>
            <w:bCs w:val="0"/>
            <w:sz w:val="20"/>
            <w:szCs w:val="20"/>
            <w:lang w:val="en-ID"/>
          </w:rPr>
          <w:t>https://doi.org/10.54712/aliansi.v6i1.195</w:t>
        </w:r>
      </w:hyperlink>
    </w:p>
    <w:p w14:paraId="608CD614"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Jensen, C., &amp; Meckling, H. (1976). Theory of the firm: Managerial </w:t>
      </w:r>
      <w:proofErr w:type="spellStart"/>
      <w:r w:rsidRPr="00AB1711">
        <w:rPr>
          <w:b w:val="0"/>
          <w:bCs w:val="0"/>
          <w:sz w:val="20"/>
          <w:szCs w:val="20"/>
          <w:lang w:val="en-ID"/>
        </w:rPr>
        <w:t>behavior</w:t>
      </w:r>
      <w:proofErr w:type="spellEnd"/>
      <w:r w:rsidRPr="00AB1711">
        <w:rPr>
          <w:b w:val="0"/>
          <w:bCs w:val="0"/>
          <w:sz w:val="20"/>
          <w:szCs w:val="20"/>
          <w:lang w:val="en-ID"/>
        </w:rPr>
        <w:t xml:space="preserve">, agency costs and ownership structure. </w:t>
      </w:r>
      <w:r w:rsidRPr="00AB1711">
        <w:rPr>
          <w:b w:val="0"/>
          <w:bCs w:val="0"/>
          <w:i/>
          <w:iCs/>
          <w:sz w:val="20"/>
          <w:szCs w:val="20"/>
          <w:lang w:val="en-ID"/>
        </w:rPr>
        <w:t>Journal of Financial Economics, 3</w:t>
      </w:r>
      <w:r w:rsidRPr="00AB1711">
        <w:rPr>
          <w:b w:val="0"/>
          <w:bCs w:val="0"/>
          <w:sz w:val="20"/>
          <w:szCs w:val="20"/>
          <w:lang w:val="en-ID"/>
        </w:rPr>
        <w:t xml:space="preserve">(4), 305–360. </w:t>
      </w:r>
      <w:hyperlink r:id="rId23" w:tgtFrame="_new" w:history="1">
        <w:r w:rsidRPr="00AB1711">
          <w:rPr>
            <w:rStyle w:val="Hyperlink"/>
            <w:b w:val="0"/>
            <w:bCs w:val="0"/>
            <w:sz w:val="20"/>
            <w:szCs w:val="20"/>
            <w:lang w:val="en-ID"/>
          </w:rPr>
          <w:t>https://doi.org/10.1016/0304-405X(76)90026-X</w:t>
        </w:r>
      </w:hyperlink>
    </w:p>
    <w:p w14:paraId="15FDB647"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Kalventri</w:t>
      </w:r>
      <w:proofErr w:type="spellEnd"/>
      <w:r w:rsidRPr="00AB1711">
        <w:rPr>
          <w:b w:val="0"/>
          <w:bCs w:val="0"/>
          <w:sz w:val="20"/>
          <w:szCs w:val="20"/>
          <w:lang w:val="en-ID"/>
        </w:rPr>
        <w:t xml:space="preserve">, M., &amp; </w:t>
      </w:r>
      <w:proofErr w:type="spellStart"/>
      <w:r w:rsidRPr="00AB1711">
        <w:rPr>
          <w:b w:val="0"/>
          <w:bCs w:val="0"/>
          <w:sz w:val="20"/>
          <w:szCs w:val="20"/>
          <w:lang w:val="en-ID"/>
        </w:rPr>
        <w:t>Mulyani</w:t>
      </w:r>
      <w:proofErr w:type="spellEnd"/>
      <w:r w:rsidRPr="00AB1711">
        <w:rPr>
          <w:b w:val="0"/>
          <w:bCs w:val="0"/>
          <w:sz w:val="20"/>
          <w:szCs w:val="20"/>
          <w:lang w:val="en-ID"/>
        </w:rPr>
        <w:t xml:space="preserve">. (2022).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profitabilitas</w:t>
      </w:r>
      <w:proofErr w:type="spellEnd"/>
      <w:r w:rsidRPr="00AB1711">
        <w:rPr>
          <w:b w:val="0"/>
          <w:bCs w:val="0"/>
          <w:sz w:val="20"/>
          <w:szCs w:val="20"/>
          <w:lang w:val="en-ID"/>
        </w:rPr>
        <w:t xml:space="preserve">, </w:t>
      </w:r>
      <w:proofErr w:type="spellStart"/>
      <w:r w:rsidRPr="00AB1711">
        <w:rPr>
          <w:b w:val="0"/>
          <w:bCs w:val="0"/>
          <w:sz w:val="20"/>
          <w:szCs w:val="20"/>
          <w:lang w:val="en-ID"/>
        </w:rPr>
        <w:t>biaya</w:t>
      </w:r>
      <w:proofErr w:type="spellEnd"/>
      <w:r w:rsidRPr="00AB1711">
        <w:rPr>
          <w:b w:val="0"/>
          <w:bCs w:val="0"/>
          <w:sz w:val="20"/>
          <w:szCs w:val="20"/>
          <w:lang w:val="en-ID"/>
        </w:rPr>
        <w:t xml:space="preserve"> </w:t>
      </w:r>
      <w:proofErr w:type="spellStart"/>
      <w:r w:rsidRPr="00AB1711">
        <w:rPr>
          <w:b w:val="0"/>
          <w:bCs w:val="0"/>
          <w:sz w:val="20"/>
          <w:szCs w:val="20"/>
          <w:lang w:val="en-ID"/>
        </w:rPr>
        <w:t>operasional</w:t>
      </w:r>
      <w:proofErr w:type="spellEnd"/>
      <w:r w:rsidRPr="00AB1711">
        <w:rPr>
          <w:b w:val="0"/>
          <w:bCs w:val="0"/>
          <w:sz w:val="20"/>
          <w:szCs w:val="20"/>
          <w:lang w:val="en-ID"/>
        </w:rPr>
        <w:t xml:space="preserve">, dan leverage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Akuntansi</w:t>
      </w:r>
      <w:proofErr w:type="spellEnd"/>
      <w:r w:rsidRPr="00AB1711">
        <w:rPr>
          <w:b w:val="0"/>
          <w:bCs w:val="0"/>
          <w:i/>
          <w:iCs/>
          <w:sz w:val="20"/>
          <w:szCs w:val="20"/>
          <w:lang w:val="en-ID"/>
        </w:rPr>
        <w:t>, 11</w:t>
      </w:r>
      <w:r w:rsidRPr="00AB1711">
        <w:rPr>
          <w:b w:val="0"/>
          <w:bCs w:val="0"/>
          <w:sz w:val="20"/>
          <w:szCs w:val="20"/>
          <w:lang w:val="en-ID"/>
        </w:rPr>
        <w:t xml:space="preserve">(1), 13–23. </w:t>
      </w:r>
      <w:hyperlink r:id="rId24" w:tgtFrame="_new" w:history="1">
        <w:r w:rsidRPr="00AB1711">
          <w:rPr>
            <w:rStyle w:val="Hyperlink"/>
            <w:b w:val="0"/>
            <w:bCs w:val="0"/>
            <w:sz w:val="20"/>
            <w:szCs w:val="20"/>
            <w:lang w:val="en-ID"/>
          </w:rPr>
          <w:t>https://doi.org/10.46806/ja.v11i1.857</w:t>
        </w:r>
      </w:hyperlink>
    </w:p>
    <w:p w14:paraId="414682AE"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Kementerian </w:t>
      </w:r>
      <w:proofErr w:type="spellStart"/>
      <w:r w:rsidRPr="00AB1711">
        <w:rPr>
          <w:b w:val="0"/>
          <w:bCs w:val="0"/>
          <w:sz w:val="20"/>
          <w:szCs w:val="20"/>
          <w:lang w:val="en-ID"/>
        </w:rPr>
        <w:t>Keuangan</w:t>
      </w:r>
      <w:proofErr w:type="spellEnd"/>
      <w:r w:rsidRPr="00AB1711">
        <w:rPr>
          <w:b w:val="0"/>
          <w:bCs w:val="0"/>
          <w:sz w:val="20"/>
          <w:szCs w:val="20"/>
          <w:lang w:val="en-ID"/>
        </w:rPr>
        <w:t xml:space="preserve"> Republik Indonesia. (2024). </w:t>
      </w:r>
      <w:r w:rsidRPr="00AB1711">
        <w:rPr>
          <w:b w:val="0"/>
          <w:bCs w:val="0"/>
          <w:i/>
          <w:iCs/>
          <w:sz w:val="20"/>
          <w:szCs w:val="20"/>
          <w:lang w:val="en-ID"/>
        </w:rPr>
        <w:t xml:space="preserve">APBN Kita: Kinerja dan </w:t>
      </w:r>
      <w:proofErr w:type="spellStart"/>
      <w:r w:rsidRPr="00AB1711">
        <w:rPr>
          <w:b w:val="0"/>
          <w:bCs w:val="0"/>
          <w:i/>
          <w:iCs/>
          <w:sz w:val="20"/>
          <w:szCs w:val="20"/>
          <w:lang w:val="en-ID"/>
        </w:rPr>
        <w:t>fakta</w:t>
      </w:r>
      <w:proofErr w:type="spellEnd"/>
      <w:r w:rsidRPr="00AB1711">
        <w:rPr>
          <w:b w:val="0"/>
          <w:bCs w:val="0"/>
          <w:i/>
          <w:iCs/>
          <w:sz w:val="20"/>
          <w:szCs w:val="20"/>
          <w:lang w:val="en-ID"/>
        </w:rPr>
        <w:t xml:space="preserve"> 2024</w:t>
      </w:r>
      <w:r w:rsidRPr="00AB1711">
        <w:rPr>
          <w:b w:val="0"/>
          <w:bCs w:val="0"/>
          <w:sz w:val="20"/>
          <w:szCs w:val="20"/>
          <w:lang w:val="en-ID"/>
        </w:rPr>
        <w:t xml:space="preserve">. </w:t>
      </w:r>
      <w:hyperlink r:id="rId25" w:tgtFrame="_new" w:history="1">
        <w:r w:rsidRPr="00AB1711">
          <w:rPr>
            <w:rStyle w:val="Hyperlink"/>
            <w:b w:val="0"/>
            <w:bCs w:val="0"/>
            <w:sz w:val="20"/>
            <w:szCs w:val="20"/>
            <w:lang w:val="en-ID"/>
          </w:rPr>
          <w:t>https://media.kemenkeu.go.id/getmedia/c0bf8b54-6b67-4a93-b345-acc870f63a0d/APBN-KITA-SEP-2024.pdf</w:t>
        </w:r>
      </w:hyperlink>
    </w:p>
    <w:p w14:paraId="49103297"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Kurnia, &amp; </w:t>
      </w:r>
      <w:proofErr w:type="spellStart"/>
      <w:r w:rsidRPr="00AB1711">
        <w:rPr>
          <w:b w:val="0"/>
          <w:bCs w:val="0"/>
          <w:sz w:val="20"/>
          <w:szCs w:val="20"/>
          <w:lang w:val="en-ID"/>
        </w:rPr>
        <w:t>Pransisca</w:t>
      </w:r>
      <w:proofErr w:type="spellEnd"/>
      <w:r w:rsidRPr="00AB1711">
        <w:rPr>
          <w:b w:val="0"/>
          <w:bCs w:val="0"/>
          <w:sz w:val="20"/>
          <w:szCs w:val="20"/>
          <w:lang w:val="en-ID"/>
        </w:rPr>
        <w:t xml:space="preserve">, N. M. (2025). Tax aggressiveness determinant: Evidence on consumer non-cyclicals sector.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Akuntansi</w:t>
      </w:r>
      <w:proofErr w:type="spellEnd"/>
      <w:r w:rsidRPr="00AB1711">
        <w:rPr>
          <w:b w:val="0"/>
          <w:bCs w:val="0"/>
          <w:i/>
          <w:iCs/>
          <w:sz w:val="20"/>
          <w:szCs w:val="20"/>
          <w:lang w:val="en-ID"/>
        </w:rPr>
        <w:t>, 29</w:t>
      </w:r>
      <w:r w:rsidRPr="00AB1711">
        <w:rPr>
          <w:b w:val="0"/>
          <w:bCs w:val="0"/>
          <w:sz w:val="20"/>
          <w:szCs w:val="20"/>
          <w:lang w:val="en-ID"/>
        </w:rPr>
        <w:t xml:space="preserve">(1), 70–87. </w:t>
      </w:r>
      <w:hyperlink r:id="rId26" w:tgtFrame="_new" w:history="1">
        <w:r w:rsidRPr="00AB1711">
          <w:rPr>
            <w:rStyle w:val="Hyperlink"/>
            <w:b w:val="0"/>
            <w:bCs w:val="0"/>
            <w:sz w:val="20"/>
            <w:szCs w:val="20"/>
            <w:lang w:val="en-ID"/>
          </w:rPr>
          <w:t>https://doi.org/10.24912/ja.v29i1.1668</w:t>
        </w:r>
      </w:hyperlink>
    </w:p>
    <w:p w14:paraId="0D719B7B"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Merilyana</w:t>
      </w:r>
      <w:proofErr w:type="spellEnd"/>
      <w:r w:rsidRPr="00AB1711">
        <w:rPr>
          <w:b w:val="0"/>
          <w:bCs w:val="0"/>
          <w:sz w:val="20"/>
          <w:szCs w:val="20"/>
          <w:lang w:val="en-ID"/>
        </w:rPr>
        <w:t xml:space="preserve">, et al. (2023).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likuiditas</w:t>
      </w:r>
      <w:proofErr w:type="spellEnd"/>
      <w:r w:rsidRPr="00AB1711">
        <w:rPr>
          <w:b w:val="0"/>
          <w:bCs w:val="0"/>
          <w:sz w:val="20"/>
          <w:szCs w:val="20"/>
          <w:lang w:val="en-ID"/>
        </w:rPr>
        <w:t xml:space="preserve">, capital intensity, dan </w:t>
      </w:r>
      <w:proofErr w:type="spellStart"/>
      <w:r w:rsidRPr="00AB1711">
        <w:rPr>
          <w:b w:val="0"/>
          <w:bCs w:val="0"/>
          <w:sz w:val="20"/>
          <w:szCs w:val="20"/>
          <w:lang w:val="en-ID"/>
        </w:rPr>
        <w:t>perencanaan</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r w:rsidRPr="00AB1711">
        <w:rPr>
          <w:b w:val="0"/>
          <w:bCs w:val="0"/>
          <w:i/>
          <w:iCs/>
          <w:sz w:val="20"/>
          <w:szCs w:val="20"/>
          <w:lang w:val="en-ID"/>
        </w:rPr>
        <w:t>Innovative Journal of Social Science Research, 3</w:t>
      </w:r>
      <w:r w:rsidRPr="00AB1711">
        <w:rPr>
          <w:b w:val="0"/>
          <w:bCs w:val="0"/>
          <w:sz w:val="20"/>
          <w:szCs w:val="20"/>
          <w:lang w:val="en-ID"/>
        </w:rPr>
        <w:t xml:space="preserve">(3), 4018–4031. </w:t>
      </w:r>
      <w:hyperlink r:id="rId27" w:tgtFrame="_new" w:history="1">
        <w:r w:rsidRPr="00AB1711">
          <w:rPr>
            <w:rStyle w:val="Hyperlink"/>
            <w:b w:val="0"/>
            <w:bCs w:val="0"/>
            <w:sz w:val="20"/>
            <w:szCs w:val="20"/>
            <w:lang w:val="en-ID"/>
          </w:rPr>
          <w:t>https://j-innovative.org/index.php/Innovative/article/view/4827</w:t>
        </w:r>
      </w:hyperlink>
    </w:p>
    <w:p w14:paraId="5A66823E"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Mukhsinah</w:t>
      </w:r>
      <w:proofErr w:type="spellEnd"/>
      <w:r w:rsidRPr="00AB1711">
        <w:rPr>
          <w:b w:val="0"/>
          <w:bCs w:val="0"/>
          <w:sz w:val="20"/>
          <w:szCs w:val="20"/>
          <w:lang w:val="en-ID"/>
        </w:rPr>
        <w:t xml:space="preserve">, S. S., &amp; Fadila, A. (2025).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rasio</w:t>
      </w:r>
      <w:proofErr w:type="spellEnd"/>
      <w:r w:rsidRPr="00AB1711">
        <w:rPr>
          <w:b w:val="0"/>
          <w:bCs w:val="0"/>
          <w:sz w:val="20"/>
          <w:szCs w:val="20"/>
          <w:lang w:val="en-ID"/>
        </w:rPr>
        <w:t xml:space="preserve"> </w:t>
      </w:r>
      <w:proofErr w:type="spellStart"/>
      <w:r w:rsidRPr="00AB1711">
        <w:rPr>
          <w:b w:val="0"/>
          <w:bCs w:val="0"/>
          <w:sz w:val="20"/>
          <w:szCs w:val="20"/>
          <w:lang w:val="en-ID"/>
        </w:rPr>
        <w:t>keuangan</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return </w:t>
      </w:r>
      <w:proofErr w:type="spellStart"/>
      <w:r w:rsidRPr="00AB1711">
        <w:rPr>
          <w:b w:val="0"/>
          <w:bCs w:val="0"/>
          <w:sz w:val="20"/>
          <w:szCs w:val="20"/>
          <w:lang w:val="en-ID"/>
        </w:rPr>
        <w:t>saham</w:t>
      </w:r>
      <w:proofErr w:type="spellEnd"/>
      <w:r w:rsidRPr="00AB1711">
        <w:rPr>
          <w:b w:val="0"/>
          <w:bCs w:val="0"/>
          <w:sz w:val="20"/>
          <w:szCs w:val="20"/>
          <w:lang w:val="en-ID"/>
        </w:rPr>
        <w:t xml:space="preserve"> </w:t>
      </w:r>
      <w:proofErr w:type="spellStart"/>
      <w:r w:rsidRPr="00AB1711">
        <w:rPr>
          <w:b w:val="0"/>
          <w:bCs w:val="0"/>
          <w:sz w:val="20"/>
          <w:szCs w:val="20"/>
          <w:lang w:val="en-ID"/>
        </w:rPr>
        <w:t>industri</w:t>
      </w:r>
      <w:proofErr w:type="spellEnd"/>
      <w:r w:rsidRPr="00AB1711">
        <w:rPr>
          <w:b w:val="0"/>
          <w:bCs w:val="0"/>
          <w:sz w:val="20"/>
          <w:szCs w:val="20"/>
          <w:lang w:val="en-ID"/>
        </w:rPr>
        <w:t xml:space="preserve"> </w:t>
      </w:r>
      <w:proofErr w:type="spellStart"/>
      <w:r w:rsidRPr="00AB1711">
        <w:rPr>
          <w:b w:val="0"/>
          <w:bCs w:val="0"/>
          <w:sz w:val="20"/>
          <w:szCs w:val="20"/>
          <w:lang w:val="en-ID"/>
        </w:rPr>
        <w:t>farmasi</w:t>
      </w:r>
      <w:proofErr w:type="spellEnd"/>
      <w:r w:rsidRPr="00AB1711">
        <w:rPr>
          <w:b w:val="0"/>
          <w:bCs w:val="0"/>
          <w:sz w:val="20"/>
          <w:szCs w:val="20"/>
          <w:lang w:val="en-ID"/>
        </w:rPr>
        <w:t xml:space="preserve"> di Indonesia. </w:t>
      </w:r>
      <w:r w:rsidRPr="00AB1711">
        <w:rPr>
          <w:b w:val="0"/>
          <w:bCs w:val="0"/>
          <w:i/>
          <w:iCs/>
          <w:sz w:val="20"/>
          <w:szCs w:val="20"/>
          <w:lang w:val="en-ID"/>
        </w:rPr>
        <w:t xml:space="preserve">JAKP: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Akuntansi</w:t>
      </w:r>
      <w:proofErr w:type="spellEnd"/>
      <w:r w:rsidRPr="00AB1711">
        <w:rPr>
          <w:b w:val="0"/>
          <w:bCs w:val="0"/>
          <w:i/>
          <w:iCs/>
          <w:sz w:val="20"/>
          <w:szCs w:val="20"/>
          <w:lang w:val="en-ID"/>
        </w:rPr>
        <w:t xml:space="preserve">, </w:t>
      </w:r>
      <w:proofErr w:type="spellStart"/>
      <w:r w:rsidRPr="00AB1711">
        <w:rPr>
          <w:b w:val="0"/>
          <w:bCs w:val="0"/>
          <w:i/>
          <w:iCs/>
          <w:sz w:val="20"/>
          <w:szCs w:val="20"/>
          <w:lang w:val="en-ID"/>
        </w:rPr>
        <w:t>Keuangan</w:t>
      </w:r>
      <w:proofErr w:type="spellEnd"/>
      <w:r w:rsidRPr="00AB1711">
        <w:rPr>
          <w:b w:val="0"/>
          <w:bCs w:val="0"/>
          <w:i/>
          <w:iCs/>
          <w:sz w:val="20"/>
          <w:szCs w:val="20"/>
          <w:lang w:val="en-ID"/>
        </w:rPr>
        <w:t xml:space="preserve"> dan </w:t>
      </w:r>
      <w:proofErr w:type="spellStart"/>
      <w:r w:rsidRPr="00AB1711">
        <w:rPr>
          <w:b w:val="0"/>
          <w:bCs w:val="0"/>
          <w:i/>
          <w:iCs/>
          <w:sz w:val="20"/>
          <w:szCs w:val="20"/>
          <w:lang w:val="en-ID"/>
        </w:rPr>
        <w:t>Perpajakan</w:t>
      </w:r>
      <w:proofErr w:type="spellEnd"/>
      <w:r w:rsidRPr="00AB1711">
        <w:rPr>
          <w:b w:val="0"/>
          <w:bCs w:val="0"/>
          <w:i/>
          <w:iCs/>
          <w:sz w:val="20"/>
          <w:szCs w:val="20"/>
          <w:lang w:val="en-ID"/>
        </w:rPr>
        <w:t>, 8</w:t>
      </w:r>
      <w:r w:rsidRPr="00AB1711">
        <w:rPr>
          <w:b w:val="0"/>
          <w:bCs w:val="0"/>
          <w:sz w:val="20"/>
          <w:szCs w:val="20"/>
          <w:lang w:val="en-ID"/>
        </w:rPr>
        <w:t xml:space="preserve">(2), 249–263. </w:t>
      </w:r>
      <w:hyperlink r:id="rId28" w:tgtFrame="_new" w:history="1">
        <w:r w:rsidRPr="00AB1711">
          <w:rPr>
            <w:rStyle w:val="Hyperlink"/>
            <w:b w:val="0"/>
            <w:bCs w:val="0"/>
            <w:sz w:val="20"/>
            <w:szCs w:val="20"/>
            <w:lang w:val="en-ID"/>
          </w:rPr>
          <w:t>https://doi.org/10.51510/jakp.v8i2.2366</w:t>
        </w:r>
      </w:hyperlink>
    </w:p>
    <w:p w14:paraId="299F6615"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Ningsih, N. H., </w:t>
      </w:r>
      <w:proofErr w:type="spellStart"/>
      <w:r w:rsidRPr="00AB1711">
        <w:rPr>
          <w:b w:val="0"/>
          <w:bCs w:val="0"/>
          <w:sz w:val="20"/>
          <w:szCs w:val="20"/>
          <w:lang w:val="en-ID"/>
        </w:rPr>
        <w:t>Aprianto</w:t>
      </w:r>
      <w:proofErr w:type="spellEnd"/>
      <w:r w:rsidRPr="00AB1711">
        <w:rPr>
          <w:b w:val="0"/>
          <w:bCs w:val="0"/>
          <w:sz w:val="20"/>
          <w:szCs w:val="20"/>
          <w:lang w:val="en-ID"/>
        </w:rPr>
        <w:t xml:space="preserve">, &amp; </w:t>
      </w:r>
      <w:proofErr w:type="spellStart"/>
      <w:r w:rsidRPr="00AB1711">
        <w:rPr>
          <w:b w:val="0"/>
          <w:bCs w:val="0"/>
          <w:sz w:val="20"/>
          <w:szCs w:val="20"/>
          <w:lang w:val="en-ID"/>
        </w:rPr>
        <w:t>Solehayana</w:t>
      </w:r>
      <w:proofErr w:type="spellEnd"/>
      <w:r w:rsidRPr="00AB1711">
        <w:rPr>
          <w:b w:val="0"/>
          <w:bCs w:val="0"/>
          <w:sz w:val="20"/>
          <w:szCs w:val="20"/>
          <w:lang w:val="en-ID"/>
        </w:rPr>
        <w:t xml:space="preserve">, E. (2020).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profitabilitas</w:t>
      </w:r>
      <w:proofErr w:type="spellEnd"/>
      <w:r w:rsidRPr="00AB1711">
        <w:rPr>
          <w:b w:val="0"/>
          <w:bCs w:val="0"/>
          <w:sz w:val="20"/>
          <w:szCs w:val="20"/>
          <w:lang w:val="en-ID"/>
        </w:rPr>
        <w:t xml:space="preserve">, </w:t>
      </w:r>
      <w:proofErr w:type="spellStart"/>
      <w:r w:rsidRPr="00AB1711">
        <w:rPr>
          <w:b w:val="0"/>
          <w:bCs w:val="0"/>
          <w:sz w:val="20"/>
          <w:szCs w:val="20"/>
          <w:lang w:val="en-ID"/>
        </w:rPr>
        <w:t>likuiditas</w:t>
      </w:r>
      <w:proofErr w:type="spellEnd"/>
      <w:r w:rsidRPr="00AB1711">
        <w:rPr>
          <w:b w:val="0"/>
          <w:bCs w:val="0"/>
          <w:sz w:val="20"/>
          <w:szCs w:val="20"/>
          <w:lang w:val="en-ID"/>
        </w:rPr>
        <w:t xml:space="preserve">, dan </w:t>
      </w:r>
      <w:proofErr w:type="spellStart"/>
      <w:r w:rsidRPr="00AB1711">
        <w:rPr>
          <w:b w:val="0"/>
          <w:bCs w:val="0"/>
          <w:sz w:val="20"/>
          <w:szCs w:val="20"/>
          <w:lang w:val="en-ID"/>
        </w:rPr>
        <w:t>biaya</w:t>
      </w:r>
      <w:proofErr w:type="spellEnd"/>
      <w:r w:rsidRPr="00AB1711">
        <w:rPr>
          <w:b w:val="0"/>
          <w:bCs w:val="0"/>
          <w:sz w:val="20"/>
          <w:szCs w:val="20"/>
          <w:lang w:val="en-ID"/>
        </w:rPr>
        <w:t xml:space="preserve"> </w:t>
      </w:r>
      <w:proofErr w:type="spellStart"/>
      <w:r w:rsidRPr="00AB1711">
        <w:rPr>
          <w:b w:val="0"/>
          <w:bCs w:val="0"/>
          <w:sz w:val="20"/>
          <w:szCs w:val="20"/>
          <w:lang w:val="en-ID"/>
        </w:rPr>
        <w:t>operasional</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Mediasi</w:t>
      </w:r>
      <w:proofErr w:type="spellEnd"/>
      <w:r w:rsidRPr="00AB1711">
        <w:rPr>
          <w:b w:val="0"/>
          <w:bCs w:val="0"/>
          <w:i/>
          <w:iCs/>
          <w:sz w:val="20"/>
          <w:szCs w:val="20"/>
          <w:lang w:val="en-ID"/>
        </w:rPr>
        <w:t>, 5</w:t>
      </w:r>
      <w:r w:rsidRPr="00AB1711">
        <w:rPr>
          <w:b w:val="0"/>
          <w:bCs w:val="0"/>
          <w:sz w:val="20"/>
          <w:szCs w:val="20"/>
          <w:lang w:val="en-ID"/>
        </w:rPr>
        <w:t xml:space="preserve">(1), 77–88. </w:t>
      </w:r>
      <w:hyperlink r:id="rId29" w:tgtFrame="_new" w:history="1">
        <w:r w:rsidRPr="00AB1711">
          <w:rPr>
            <w:rStyle w:val="Hyperlink"/>
            <w:b w:val="0"/>
            <w:bCs w:val="0"/>
            <w:sz w:val="20"/>
            <w:szCs w:val="20"/>
            <w:lang w:val="en-ID"/>
          </w:rPr>
          <w:t>https://doi.org/10.31851/jmediasi.v5i1.9369</w:t>
        </w:r>
      </w:hyperlink>
    </w:p>
    <w:p w14:paraId="631BFA22"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Permana</w:t>
      </w:r>
      <w:proofErr w:type="spellEnd"/>
      <w:r w:rsidRPr="00AB1711">
        <w:rPr>
          <w:b w:val="0"/>
          <w:bCs w:val="0"/>
          <w:sz w:val="20"/>
          <w:szCs w:val="20"/>
          <w:lang w:val="en-ID"/>
        </w:rPr>
        <w:t xml:space="preserve">, N., Yulianti, G., &amp; Kusuma, R. N. (2022). </w:t>
      </w:r>
      <w:proofErr w:type="spellStart"/>
      <w:r w:rsidRPr="00AB1711">
        <w:rPr>
          <w:b w:val="0"/>
          <w:bCs w:val="0"/>
          <w:sz w:val="20"/>
          <w:szCs w:val="20"/>
          <w:lang w:val="en-ID"/>
        </w:rPr>
        <w:t>Analisis</w:t>
      </w:r>
      <w:proofErr w:type="spellEnd"/>
      <w:r w:rsidRPr="00AB1711">
        <w:rPr>
          <w:b w:val="0"/>
          <w:bCs w:val="0"/>
          <w:sz w:val="20"/>
          <w:szCs w:val="20"/>
          <w:lang w:val="en-ID"/>
        </w:rPr>
        <w:t xml:space="preserve">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ukuran</w:t>
      </w:r>
      <w:proofErr w:type="spellEnd"/>
      <w:r w:rsidRPr="00AB1711">
        <w:rPr>
          <w:b w:val="0"/>
          <w:bCs w:val="0"/>
          <w:sz w:val="20"/>
          <w:szCs w:val="20"/>
          <w:lang w:val="en-ID"/>
        </w:rPr>
        <w:t xml:space="preserve"> </w:t>
      </w:r>
      <w:proofErr w:type="spellStart"/>
      <w:r w:rsidRPr="00AB1711">
        <w:rPr>
          <w:b w:val="0"/>
          <w:bCs w:val="0"/>
          <w:sz w:val="20"/>
          <w:szCs w:val="20"/>
          <w:lang w:val="en-ID"/>
        </w:rPr>
        <w:t>perusahaan</w:t>
      </w:r>
      <w:proofErr w:type="spellEnd"/>
      <w:r w:rsidRPr="00AB1711">
        <w:rPr>
          <w:b w:val="0"/>
          <w:bCs w:val="0"/>
          <w:sz w:val="20"/>
          <w:szCs w:val="20"/>
          <w:lang w:val="en-ID"/>
        </w:rPr>
        <w:t xml:space="preserve">, leverage, dan </w:t>
      </w:r>
      <w:proofErr w:type="spellStart"/>
      <w:r w:rsidRPr="00AB1711">
        <w:rPr>
          <w:b w:val="0"/>
          <w:bCs w:val="0"/>
          <w:sz w:val="20"/>
          <w:szCs w:val="20"/>
          <w:lang w:val="en-ID"/>
        </w:rPr>
        <w:t>profitabilitas</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penghindaran</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Studi Ekonomika, 20</w:t>
      </w:r>
      <w:r w:rsidRPr="00AB1711">
        <w:rPr>
          <w:b w:val="0"/>
          <w:bCs w:val="0"/>
          <w:sz w:val="20"/>
          <w:szCs w:val="20"/>
          <w:lang w:val="en-ID"/>
        </w:rPr>
        <w:t xml:space="preserve">(1), 25–49. </w:t>
      </w:r>
      <w:hyperlink r:id="rId30" w:tgtFrame="_new" w:history="1">
        <w:r w:rsidRPr="00AB1711">
          <w:rPr>
            <w:rStyle w:val="Hyperlink"/>
            <w:b w:val="0"/>
            <w:bCs w:val="0"/>
            <w:sz w:val="20"/>
            <w:szCs w:val="20"/>
            <w:lang w:val="en-ID"/>
          </w:rPr>
          <w:t>https://doi.org/10.70142/studiaekonomika.v20i1.95</w:t>
        </w:r>
      </w:hyperlink>
    </w:p>
    <w:p w14:paraId="4357E7A2"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Putri, T., &amp; Harimurti, F. (2025). </w:t>
      </w:r>
      <w:proofErr w:type="spellStart"/>
      <w:r w:rsidRPr="00AB1711">
        <w:rPr>
          <w:b w:val="0"/>
          <w:bCs w:val="0"/>
          <w:sz w:val="20"/>
          <w:szCs w:val="20"/>
          <w:lang w:val="en-ID"/>
        </w:rPr>
        <w:t>Analisis</w:t>
      </w:r>
      <w:proofErr w:type="spellEnd"/>
      <w:r w:rsidRPr="00AB1711">
        <w:rPr>
          <w:b w:val="0"/>
          <w:bCs w:val="0"/>
          <w:sz w:val="20"/>
          <w:szCs w:val="20"/>
          <w:lang w:val="en-ID"/>
        </w:rPr>
        <w:t xml:space="preserve"> </w:t>
      </w:r>
      <w:proofErr w:type="spellStart"/>
      <w:r w:rsidRPr="00AB1711">
        <w:rPr>
          <w:b w:val="0"/>
          <w:bCs w:val="0"/>
          <w:sz w:val="20"/>
          <w:szCs w:val="20"/>
          <w:lang w:val="en-ID"/>
        </w:rPr>
        <w:t>profitabilitas</w:t>
      </w:r>
      <w:proofErr w:type="spellEnd"/>
      <w:r w:rsidRPr="00AB1711">
        <w:rPr>
          <w:b w:val="0"/>
          <w:bCs w:val="0"/>
          <w:sz w:val="20"/>
          <w:szCs w:val="20"/>
          <w:lang w:val="en-ID"/>
        </w:rPr>
        <w:t xml:space="preserve">, leverage, dan </w:t>
      </w:r>
      <w:proofErr w:type="spellStart"/>
      <w:r w:rsidRPr="00AB1711">
        <w:rPr>
          <w:b w:val="0"/>
          <w:bCs w:val="0"/>
          <w:sz w:val="20"/>
          <w:szCs w:val="20"/>
          <w:lang w:val="en-ID"/>
        </w:rPr>
        <w:t>biaya</w:t>
      </w:r>
      <w:proofErr w:type="spellEnd"/>
      <w:r w:rsidRPr="00AB1711">
        <w:rPr>
          <w:b w:val="0"/>
          <w:bCs w:val="0"/>
          <w:sz w:val="20"/>
          <w:szCs w:val="20"/>
          <w:lang w:val="en-ID"/>
        </w:rPr>
        <w:t xml:space="preserve"> </w:t>
      </w:r>
      <w:proofErr w:type="spellStart"/>
      <w:r w:rsidRPr="00AB1711">
        <w:rPr>
          <w:b w:val="0"/>
          <w:bCs w:val="0"/>
          <w:sz w:val="20"/>
          <w:szCs w:val="20"/>
          <w:lang w:val="en-ID"/>
        </w:rPr>
        <w:t>operasional</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Publikasi</w:t>
      </w:r>
      <w:proofErr w:type="spellEnd"/>
      <w:r w:rsidRPr="00AB1711">
        <w:rPr>
          <w:b w:val="0"/>
          <w:bCs w:val="0"/>
          <w:i/>
          <w:iCs/>
          <w:sz w:val="20"/>
          <w:szCs w:val="20"/>
          <w:lang w:val="en-ID"/>
        </w:rPr>
        <w:t xml:space="preserve"> Ekonomi dan </w:t>
      </w:r>
      <w:proofErr w:type="spellStart"/>
      <w:r w:rsidRPr="00AB1711">
        <w:rPr>
          <w:b w:val="0"/>
          <w:bCs w:val="0"/>
          <w:i/>
          <w:iCs/>
          <w:sz w:val="20"/>
          <w:szCs w:val="20"/>
          <w:lang w:val="en-ID"/>
        </w:rPr>
        <w:t>Akuntansi</w:t>
      </w:r>
      <w:proofErr w:type="spellEnd"/>
      <w:r w:rsidRPr="00AB1711">
        <w:rPr>
          <w:b w:val="0"/>
          <w:bCs w:val="0"/>
          <w:i/>
          <w:iCs/>
          <w:sz w:val="20"/>
          <w:szCs w:val="20"/>
          <w:lang w:val="en-ID"/>
        </w:rPr>
        <w:t>, 5</w:t>
      </w:r>
      <w:r w:rsidRPr="00AB1711">
        <w:rPr>
          <w:b w:val="0"/>
          <w:bCs w:val="0"/>
          <w:sz w:val="20"/>
          <w:szCs w:val="20"/>
          <w:lang w:val="en-ID"/>
        </w:rPr>
        <w:t xml:space="preserve">(3), 447–457. </w:t>
      </w:r>
      <w:hyperlink r:id="rId31" w:tgtFrame="_new" w:history="1">
        <w:r w:rsidRPr="00AB1711">
          <w:rPr>
            <w:rStyle w:val="Hyperlink"/>
            <w:b w:val="0"/>
            <w:bCs w:val="0"/>
            <w:sz w:val="20"/>
            <w:szCs w:val="20"/>
            <w:lang w:val="en-ID"/>
          </w:rPr>
          <w:t>https://doi.org/10.51903/jupea.v5i3.4215</w:t>
        </w:r>
      </w:hyperlink>
    </w:p>
    <w:p w14:paraId="1E5E004E"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Qotrunnida</w:t>
      </w:r>
      <w:proofErr w:type="spellEnd"/>
      <w:r w:rsidRPr="00AB1711">
        <w:rPr>
          <w:b w:val="0"/>
          <w:bCs w:val="0"/>
          <w:sz w:val="20"/>
          <w:szCs w:val="20"/>
          <w:lang w:val="en-ID"/>
        </w:rPr>
        <w:t xml:space="preserve">, Rianto, &amp; Mujiani, S. (2025). </w:t>
      </w:r>
      <w:proofErr w:type="spellStart"/>
      <w:r w:rsidRPr="00AB1711">
        <w:rPr>
          <w:b w:val="0"/>
          <w:bCs w:val="0"/>
          <w:sz w:val="20"/>
          <w:szCs w:val="20"/>
          <w:lang w:val="en-ID"/>
        </w:rPr>
        <w:t>Pengaruh</w:t>
      </w:r>
      <w:proofErr w:type="spellEnd"/>
      <w:r w:rsidRPr="00AB1711">
        <w:rPr>
          <w:b w:val="0"/>
          <w:bCs w:val="0"/>
          <w:sz w:val="20"/>
          <w:szCs w:val="20"/>
          <w:lang w:val="en-ID"/>
        </w:rPr>
        <w:t xml:space="preserve"> </w:t>
      </w:r>
      <w:proofErr w:type="spellStart"/>
      <w:r w:rsidRPr="00AB1711">
        <w:rPr>
          <w:b w:val="0"/>
          <w:bCs w:val="0"/>
          <w:sz w:val="20"/>
          <w:szCs w:val="20"/>
          <w:lang w:val="en-ID"/>
        </w:rPr>
        <w:t>struktur</w:t>
      </w:r>
      <w:proofErr w:type="spellEnd"/>
      <w:r w:rsidRPr="00AB1711">
        <w:rPr>
          <w:b w:val="0"/>
          <w:bCs w:val="0"/>
          <w:sz w:val="20"/>
          <w:szCs w:val="20"/>
          <w:lang w:val="en-ID"/>
        </w:rPr>
        <w:t xml:space="preserve"> modal dan </w:t>
      </w:r>
      <w:proofErr w:type="spellStart"/>
      <w:r w:rsidRPr="00AB1711">
        <w:rPr>
          <w:b w:val="0"/>
          <w:bCs w:val="0"/>
          <w:sz w:val="20"/>
          <w:szCs w:val="20"/>
          <w:lang w:val="en-ID"/>
        </w:rPr>
        <w:t>profitabilitas</w:t>
      </w:r>
      <w:proofErr w:type="spellEnd"/>
      <w:r w:rsidRPr="00AB1711">
        <w:rPr>
          <w:b w:val="0"/>
          <w:bCs w:val="0"/>
          <w:sz w:val="20"/>
          <w:szCs w:val="20"/>
          <w:lang w:val="en-ID"/>
        </w:rPr>
        <w:t xml:space="preserve"> </w:t>
      </w:r>
      <w:proofErr w:type="spellStart"/>
      <w:r w:rsidRPr="00AB1711">
        <w:rPr>
          <w:b w:val="0"/>
          <w:bCs w:val="0"/>
          <w:sz w:val="20"/>
          <w:szCs w:val="20"/>
          <w:lang w:val="en-ID"/>
        </w:rPr>
        <w:t>terhadap</w:t>
      </w:r>
      <w:proofErr w:type="spellEnd"/>
      <w:r w:rsidRPr="00AB1711">
        <w:rPr>
          <w:b w:val="0"/>
          <w:bCs w:val="0"/>
          <w:sz w:val="20"/>
          <w:szCs w:val="20"/>
          <w:lang w:val="en-ID"/>
        </w:rPr>
        <w:t xml:space="preserve"> </w:t>
      </w:r>
      <w:proofErr w:type="spellStart"/>
      <w:r w:rsidRPr="00AB1711">
        <w:rPr>
          <w:b w:val="0"/>
          <w:bCs w:val="0"/>
          <w:sz w:val="20"/>
          <w:szCs w:val="20"/>
          <w:lang w:val="en-ID"/>
        </w:rPr>
        <w:t>pajak</w:t>
      </w:r>
      <w:proofErr w:type="spellEnd"/>
      <w:r w:rsidRPr="00AB1711">
        <w:rPr>
          <w:b w:val="0"/>
          <w:bCs w:val="0"/>
          <w:sz w:val="20"/>
          <w:szCs w:val="20"/>
          <w:lang w:val="en-ID"/>
        </w:rPr>
        <w:t xml:space="preserve"> </w:t>
      </w:r>
      <w:proofErr w:type="spellStart"/>
      <w:r w:rsidRPr="00AB1711">
        <w:rPr>
          <w:b w:val="0"/>
          <w:bCs w:val="0"/>
          <w:sz w:val="20"/>
          <w:szCs w:val="20"/>
          <w:lang w:val="en-ID"/>
        </w:rPr>
        <w:t>penghasilan</w:t>
      </w:r>
      <w:proofErr w:type="spellEnd"/>
      <w:r w:rsidRPr="00AB1711">
        <w:rPr>
          <w:b w:val="0"/>
          <w:bCs w:val="0"/>
          <w:sz w:val="20"/>
          <w:szCs w:val="20"/>
          <w:lang w:val="en-ID"/>
        </w:rPr>
        <w:t xml:space="preserve"> badan </w:t>
      </w:r>
      <w:proofErr w:type="spellStart"/>
      <w:r w:rsidRPr="00AB1711">
        <w:rPr>
          <w:b w:val="0"/>
          <w:bCs w:val="0"/>
          <w:sz w:val="20"/>
          <w:szCs w:val="20"/>
          <w:lang w:val="en-ID"/>
        </w:rPr>
        <w:t>terutang</w:t>
      </w:r>
      <w:proofErr w:type="spellEnd"/>
      <w:r w:rsidRPr="00AB1711">
        <w:rPr>
          <w:b w:val="0"/>
          <w:bCs w:val="0"/>
          <w:sz w:val="20"/>
          <w:szCs w:val="20"/>
          <w:lang w:val="en-ID"/>
        </w:rPr>
        <w:t xml:space="preserve">. </w:t>
      </w:r>
      <w:proofErr w:type="spellStart"/>
      <w:r w:rsidRPr="00AB1711">
        <w:rPr>
          <w:b w:val="0"/>
          <w:bCs w:val="0"/>
          <w:i/>
          <w:iCs/>
          <w:sz w:val="20"/>
          <w:szCs w:val="20"/>
          <w:lang w:val="en-ID"/>
        </w:rPr>
        <w:t>Akrual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Jurnal</w:t>
      </w:r>
      <w:proofErr w:type="spellEnd"/>
      <w:r w:rsidRPr="00AB1711">
        <w:rPr>
          <w:b w:val="0"/>
          <w:bCs w:val="0"/>
          <w:i/>
          <w:iCs/>
          <w:sz w:val="20"/>
          <w:szCs w:val="20"/>
          <w:lang w:val="en-ID"/>
        </w:rPr>
        <w:t xml:space="preserve"> </w:t>
      </w:r>
      <w:proofErr w:type="spellStart"/>
      <w:r w:rsidRPr="00AB1711">
        <w:rPr>
          <w:b w:val="0"/>
          <w:bCs w:val="0"/>
          <w:i/>
          <w:iCs/>
          <w:sz w:val="20"/>
          <w:szCs w:val="20"/>
          <w:lang w:val="en-ID"/>
        </w:rPr>
        <w:t>Akuntansi</w:t>
      </w:r>
      <w:proofErr w:type="spellEnd"/>
      <w:r w:rsidRPr="00AB1711">
        <w:rPr>
          <w:b w:val="0"/>
          <w:bCs w:val="0"/>
          <w:i/>
          <w:iCs/>
          <w:sz w:val="20"/>
          <w:szCs w:val="20"/>
          <w:lang w:val="en-ID"/>
        </w:rPr>
        <w:t xml:space="preserve"> dan Keuangan, 7</w:t>
      </w:r>
      <w:r w:rsidRPr="00AB1711">
        <w:rPr>
          <w:b w:val="0"/>
          <w:bCs w:val="0"/>
          <w:sz w:val="20"/>
          <w:szCs w:val="20"/>
          <w:lang w:val="en-ID"/>
        </w:rPr>
        <w:t xml:space="preserve">(1). </w:t>
      </w:r>
      <w:hyperlink r:id="rId32" w:tgtFrame="_new" w:history="1">
        <w:r w:rsidRPr="00AB1711">
          <w:rPr>
            <w:rStyle w:val="Hyperlink"/>
            <w:b w:val="0"/>
            <w:bCs w:val="0"/>
            <w:sz w:val="20"/>
            <w:szCs w:val="20"/>
            <w:lang w:val="en-ID"/>
          </w:rPr>
          <w:t>https://doi.org/10.34005/akrual.v7i1.5090</w:t>
        </w:r>
      </w:hyperlink>
    </w:p>
    <w:p w14:paraId="173E6AA2" w14:textId="77777777" w:rsidR="00AB1711" w:rsidRPr="00AB1711" w:rsidRDefault="00AB1711" w:rsidP="00AB1711">
      <w:pPr>
        <w:pStyle w:val="ReferencesFAITH"/>
        <w:rPr>
          <w:b w:val="0"/>
          <w:bCs w:val="0"/>
          <w:sz w:val="20"/>
          <w:szCs w:val="20"/>
          <w:lang w:val="en-ID"/>
        </w:rPr>
      </w:pPr>
      <w:r w:rsidRPr="00AB1711">
        <w:rPr>
          <w:b w:val="0"/>
          <w:bCs w:val="0"/>
          <w:sz w:val="20"/>
          <w:szCs w:val="20"/>
          <w:lang w:val="en-ID"/>
        </w:rPr>
        <w:t xml:space="preserve">Tempo.co. (2025, October 2). </w:t>
      </w:r>
      <w:r w:rsidRPr="00AB1711">
        <w:rPr>
          <w:b w:val="0"/>
          <w:bCs w:val="0"/>
          <w:i/>
          <w:iCs/>
          <w:sz w:val="20"/>
          <w:szCs w:val="20"/>
          <w:lang w:val="en-ID"/>
        </w:rPr>
        <w:t>Jenis-</w:t>
      </w:r>
      <w:proofErr w:type="spellStart"/>
      <w:r w:rsidRPr="00AB1711">
        <w:rPr>
          <w:b w:val="0"/>
          <w:bCs w:val="0"/>
          <w:i/>
          <w:iCs/>
          <w:sz w:val="20"/>
          <w:szCs w:val="20"/>
          <w:lang w:val="en-ID"/>
        </w:rPr>
        <w:t>jenis</w:t>
      </w:r>
      <w:proofErr w:type="spellEnd"/>
      <w:r w:rsidRPr="00AB1711">
        <w:rPr>
          <w:b w:val="0"/>
          <w:bCs w:val="0"/>
          <w:i/>
          <w:iCs/>
          <w:sz w:val="20"/>
          <w:szCs w:val="20"/>
          <w:lang w:val="en-ID"/>
        </w:rPr>
        <w:t xml:space="preserve"> </w:t>
      </w:r>
      <w:proofErr w:type="spellStart"/>
      <w:r w:rsidRPr="00AB1711">
        <w:rPr>
          <w:b w:val="0"/>
          <w:bCs w:val="0"/>
          <w:i/>
          <w:iCs/>
          <w:sz w:val="20"/>
          <w:szCs w:val="20"/>
          <w:lang w:val="en-ID"/>
        </w:rPr>
        <w:t>sumber</w:t>
      </w:r>
      <w:proofErr w:type="spellEnd"/>
      <w:r w:rsidRPr="00AB1711">
        <w:rPr>
          <w:b w:val="0"/>
          <w:bCs w:val="0"/>
          <w:i/>
          <w:iCs/>
          <w:sz w:val="20"/>
          <w:szCs w:val="20"/>
          <w:lang w:val="en-ID"/>
        </w:rPr>
        <w:t xml:space="preserve"> </w:t>
      </w:r>
      <w:proofErr w:type="spellStart"/>
      <w:r w:rsidRPr="00AB1711">
        <w:rPr>
          <w:b w:val="0"/>
          <w:bCs w:val="0"/>
          <w:i/>
          <w:iCs/>
          <w:sz w:val="20"/>
          <w:szCs w:val="20"/>
          <w:lang w:val="en-ID"/>
        </w:rPr>
        <w:t>penerimaan</w:t>
      </w:r>
      <w:proofErr w:type="spellEnd"/>
      <w:r w:rsidRPr="00AB1711">
        <w:rPr>
          <w:b w:val="0"/>
          <w:bCs w:val="0"/>
          <w:i/>
          <w:iCs/>
          <w:sz w:val="20"/>
          <w:szCs w:val="20"/>
          <w:lang w:val="en-ID"/>
        </w:rPr>
        <w:t xml:space="preserve"> negara Indonesia, mana yang </w:t>
      </w:r>
      <w:proofErr w:type="spellStart"/>
      <w:r w:rsidRPr="00AB1711">
        <w:rPr>
          <w:b w:val="0"/>
          <w:bCs w:val="0"/>
          <w:i/>
          <w:iCs/>
          <w:sz w:val="20"/>
          <w:szCs w:val="20"/>
          <w:lang w:val="en-ID"/>
        </w:rPr>
        <w:t>terbesar</w:t>
      </w:r>
      <w:proofErr w:type="spellEnd"/>
      <w:r w:rsidRPr="00AB1711">
        <w:rPr>
          <w:b w:val="0"/>
          <w:bCs w:val="0"/>
          <w:i/>
          <w:iCs/>
          <w:sz w:val="20"/>
          <w:szCs w:val="20"/>
          <w:lang w:val="en-ID"/>
        </w:rPr>
        <w:t>?</w:t>
      </w:r>
      <w:r w:rsidRPr="00AB1711">
        <w:rPr>
          <w:b w:val="0"/>
          <w:bCs w:val="0"/>
          <w:sz w:val="20"/>
          <w:szCs w:val="20"/>
          <w:lang w:val="en-ID"/>
        </w:rPr>
        <w:t xml:space="preserve"> </w:t>
      </w:r>
      <w:hyperlink r:id="rId33" w:tgtFrame="_new" w:history="1">
        <w:r w:rsidRPr="00AB1711">
          <w:rPr>
            <w:rStyle w:val="Hyperlink"/>
            <w:b w:val="0"/>
            <w:bCs w:val="0"/>
            <w:sz w:val="20"/>
            <w:szCs w:val="20"/>
            <w:lang w:val="en-ID"/>
          </w:rPr>
          <w:t>https://www.tempo.co/ekonomi/jenis-jenis-sumber-penerimaan-negara-indonesia-mana-yang-terbesar--63709</w:t>
        </w:r>
      </w:hyperlink>
    </w:p>
    <w:p w14:paraId="508D8877"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Undang-Undang</w:t>
      </w:r>
      <w:proofErr w:type="spellEnd"/>
      <w:r w:rsidRPr="00AB1711">
        <w:rPr>
          <w:b w:val="0"/>
          <w:bCs w:val="0"/>
          <w:sz w:val="20"/>
          <w:szCs w:val="20"/>
          <w:lang w:val="en-ID"/>
        </w:rPr>
        <w:t xml:space="preserve"> Republik Indonesia </w:t>
      </w:r>
      <w:proofErr w:type="spellStart"/>
      <w:r w:rsidRPr="00AB1711">
        <w:rPr>
          <w:b w:val="0"/>
          <w:bCs w:val="0"/>
          <w:sz w:val="20"/>
          <w:szCs w:val="20"/>
          <w:lang w:val="en-ID"/>
        </w:rPr>
        <w:t>Nomor</w:t>
      </w:r>
      <w:proofErr w:type="spellEnd"/>
      <w:r w:rsidRPr="00AB1711">
        <w:rPr>
          <w:b w:val="0"/>
          <w:bCs w:val="0"/>
          <w:sz w:val="20"/>
          <w:szCs w:val="20"/>
          <w:lang w:val="en-ID"/>
        </w:rPr>
        <w:t xml:space="preserve"> 36 </w:t>
      </w:r>
      <w:proofErr w:type="spellStart"/>
      <w:r w:rsidRPr="00AB1711">
        <w:rPr>
          <w:b w:val="0"/>
          <w:bCs w:val="0"/>
          <w:sz w:val="20"/>
          <w:szCs w:val="20"/>
          <w:lang w:val="en-ID"/>
        </w:rPr>
        <w:t>Tahun</w:t>
      </w:r>
      <w:proofErr w:type="spellEnd"/>
      <w:r w:rsidRPr="00AB1711">
        <w:rPr>
          <w:b w:val="0"/>
          <w:bCs w:val="0"/>
          <w:sz w:val="20"/>
          <w:szCs w:val="20"/>
          <w:lang w:val="en-ID"/>
        </w:rPr>
        <w:t xml:space="preserve"> 2008 </w:t>
      </w:r>
      <w:proofErr w:type="spellStart"/>
      <w:r w:rsidRPr="00AB1711">
        <w:rPr>
          <w:b w:val="0"/>
          <w:bCs w:val="0"/>
          <w:sz w:val="20"/>
          <w:szCs w:val="20"/>
          <w:lang w:val="en-ID"/>
        </w:rPr>
        <w:t>tentang</w:t>
      </w:r>
      <w:proofErr w:type="spellEnd"/>
      <w:r w:rsidRPr="00AB1711">
        <w:rPr>
          <w:b w:val="0"/>
          <w:bCs w:val="0"/>
          <w:sz w:val="20"/>
          <w:szCs w:val="20"/>
          <w:lang w:val="en-ID"/>
        </w:rPr>
        <w:t xml:space="preserve"> Pajak </w:t>
      </w:r>
      <w:proofErr w:type="spellStart"/>
      <w:r w:rsidRPr="00AB1711">
        <w:rPr>
          <w:b w:val="0"/>
          <w:bCs w:val="0"/>
          <w:sz w:val="20"/>
          <w:szCs w:val="20"/>
          <w:lang w:val="en-ID"/>
        </w:rPr>
        <w:t>Penghasilan</w:t>
      </w:r>
      <w:proofErr w:type="spellEnd"/>
      <w:r w:rsidRPr="00AB1711">
        <w:rPr>
          <w:b w:val="0"/>
          <w:bCs w:val="0"/>
          <w:sz w:val="20"/>
          <w:szCs w:val="20"/>
          <w:lang w:val="en-ID"/>
        </w:rPr>
        <w:t xml:space="preserve">. (2008). </w:t>
      </w:r>
      <w:hyperlink r:id="rId34" w:tgtFrame="_new" w:history="1">
        <w:r w:rsidRPr="00AB1711">
          <w:rPr>
            <w:rStyle w:val="Hyperlink"/>
            <w:b w:val="0"/>
            <w:bCs w:val="0"/>
            <w:sz w:val="20"/>
            <w:szCs w:val="20"/>
            <w:lang w:val="en-ID"/>
          </w:rPr>
          <w:t>https://klikpajak.id/wp-content/uploads/2022/06/UU-No.-36-Tahun-2008.pdf</w:t>
        </w:r>
      </w:hyperlink>
    </w:p>
    <w:p w14:paraId="60B91F3C" w14:textId="77777777" w:rsidR="00AB1711" w:rsidRPr="00AB1711" w:rsidRDefault="00AB1711" w:rsidP="00AB1711">
      <w:pPr>
        <w:pStyle w:val="ReferencesFAITH"/>
        <w:rPr>
          <w:b w:val="0"/>
          <w:bCs w:val="0"/>
          <w:sz w:val="20"/>
          <w:szCs w:val="20"/>
          <w:lang w:val="en-ID"/>
        </w:rPr>
      </w:pPr>
      <w:proofErr w:type="spellStart"/>
      <w:r w:rsidRPr="00AB1711">
        <w:rPr>
          <w:b w:val="0"/>
          <w:bCs w:val="0"/>
          <w:sz w:val="20"/>
          <w:szCs w:val="20"/>
          <w:lang w:val="en-ID"/>
        </w:rPr>
        <w:t>Undang-Undang</w:t>
      </w:r>
      <w:proofErr w:type="spellEnd"/>
      <w:r w:rsidRPr="00AB1711">
        <w:rPr>
          <w:b w:val="0"/>
          <w:bCs w:val="0"/>
          <w:sz w:val="20"/>
          <w:szCs w:val="20"/>
          <w:lang w:val="en-ID"/>
        </w:rPr>
        <w:t xml:space="preserve"> Republik Indonesia </w:t>
      </w:r>
      <w:proofErr w:type="spellStart"/>
      <w:r w:rsidRPr="00AB1711">
        <w:rPr>
          <w:b w:val="0"/>
          <w:bCs w:val="0"/>
          <w:sz w:val="20"/>
          <w:szCs w:val="20"/>
          <w:lang w:val="en-ID"/>
        </w:rPr>
        <w:t>Nomor</w:t>
      </w:r>
      <w:proofErr w:type="spellEnd"/>
      <w:r w:rsidRPr="00AB1711">
        <w:rPr>
          <w:b w:val="0"/>
          <w:bCs w:val="0"/>
          <w:sz w:val="20"/>
          <w:szCs w:val="20"/>
          <w:lang w:val="en-ID"/>
        </w:rPr>
        <w:t xml:space="preserve"> 2 </w:t>
      </w:r>
      <w:proofErr w:type="spellStart"/>
      <w:r w:rsidRPr="00AB1711">
        <w:rPr>
          <w:b w:val="0"/>
          <w:bCs w:val="0"/>
          <w:sz w:val="20"/>
          <w:szCs w:val="20"/>
          <w:lang w:val="en-ID"/>
        </w:rPr>
        <w:t>Tahun</w:t>
      </w:r>
      <w:proofErr w:type="spellEnd"/>
      <w:r w:rsidRPr="00AB1711">
        <w:rPr>
          <w:b w:val="0"/>
          <w:bCs w:val="0"/>
          <w:sz w:val="20"/>
          <w:szCs w:val="20"/>
          <w:lang w:val="en-ID"/>
        </w:rPr>
        <w:t xml:space="preserve"> 2020. (2020). </w:t>
      </w:r>
      <w:hyperlink r:id="rId35" w:tgtFrame="_new" w:history="1">
        <w:r w:rsidRPr="00AB1711">
          <w:rPr>
            <w:rStyle w:val="Hyperlink"/>
            <w:b w:val="0"/>
            <w:bCs w:val="0"/>
            <w:sz w:val="20"/>
            <w:szCs w:val="20"/>
            <w:lang w:val="en-ID"/>
          </w:rPr>
          <w:t>https://klikpajak.id/wp-content/uploads/2023/02/UU-Nomor-2-Tahun-2020.pdf</w:t>
        </w:r>
      </w:hyperlink>
    </w:p>
    <w:p w14:paraId="7DA0B135" w14:textId="77777777" w:rsidR="00AB1711" w:rsidRDefault="00AB1711">
      <w:pPr>
        <w:pBdr>
          <w:top w:val="nil"/>
          <w:left w:val="nil"/>
          <w:bottom w:val="nil"/>
          <w:right w:val="nil"/>
          <w:between w:val="nil"/>
        </w:pBdr>
        <w:spacing w:before="240" w:after="60" w:line="228" w:lineRule="auto"/>
        <w:jc w:val="left"/>
        <w:rPr>
          <w:color w:val="000000"/>
          <w:sz w:val="24"/>
          <w:szCs w:val="24"/>
        </w:rPr>
      </w:pPr>
    </w:p>
    <w:sectPr w:rsidR="00AB1711" w:rsidSect="00AB1711">
      <w:headerReference w:type="even" r:id="rId36"/>
      <w:headerReference w:type="default" r:id="rId37"/>
      <w:footerReference w:type="default" r:id="rId38"/>
      <w:headerReference w:type="first" r:id="rId39"/>
      <w:footerReference w:type="first" r:id="rId40"/>
      <w:pgSz w:w="11906" w:h="16838"/>
      <w:pgMar w:top="1417" w:right="720" w:bottom="1077" w:left="720" w:header="1020" w:footer="340" w:gutter="0"/>
      <w:pgNumType w:start="79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725E7A" w14:textId="77777777" w:rsidR="006F08F7" w:rsidRDefault="006F08F7">
      <w:r>
        <w:separator/>
      </w:r>
    </w:p>
  </w:endnote>
  <w:endnote w:type="continuationSeparator" w:id="0">
    <w:p w14:paraId="3CC29D04" w14:textId="77777777" w:rsidR="006F08F7" w:rsidRDefault="006F0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D6622EE9-BD34-4E08-9231-E2BDCA9F0AD1}"/>
    <w:embedBold r:id="rId2" w:fontKey="{F7C1CF8B-9ED9-42B0-9BEA-BFF15C1025F9}"/>
    <w:embedItalic r:id="rId3" w:fontKey="{BA9B513F-7346-4F82-BA3C-9A37ABCCFD90}"/>
    <w:embedBoldItalic r:id="rId4" w:fontKey="{B3E07B0D-0917-4305-81E7-21E0067B5BEB}"/>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5" w:fontKey="{7BFC1CB4-18F3-4EE7-A4EA-FB19F3E0AC31}"/>
    <w:embedBold r:id="rId6" w:fontKey="{A2DAD714-E83B-4348-9D37-3E9A4D319341}"/>
    <w:embedBoldItalic r:id="rId7" w:fontKey="{A382111C-A998-472F-94E5-651D31FBB657}"/>
  </w:font>
  <w:font w:name="Cordia New">
    <w:panose1 w:val="020B0304020202020204"/>
    <w:charset w:val="DE"/>
    <w:family w:val="swiss"/>
    <w:pitch w:val="variable"/>
    <w:sig w:usb0="81000003" w:usb1="00000000" w:usb2="00000000" w:usb3="00000000" w:csb0="00010001" w:csb1="00000000"/>
    <w:embedBold r:id="rId8" w:fontKey="{5BDC36CE-C349-429A-BCB1-A3AF13663818}"/>
  </w:font>
  <w:font w:name="Tahoma">
    <w:panose1 w:val="020B0604030504040204"/>
    <w:charset w:val="00"/>
    <w:family w:val="swiss"/>
    <w:pitch w:val="variable"/>
    <w:sig w:usb0="E1002EFF" w:usb1="C000605B" w:usb2="00000029" w:usb3="00000000" w:csb0="000101FF" w:csb1="00000000"/>
    <w:embedRegular r:id="rId9" w:fontKey="{A234C736-16D7-446B-8FCB-0A92FB533EE6}"/>
    <w:embedBold r:id="rId10" w:fontKey="{F133E13B-CD27-4840-ACC5-FEE1E5474C87}"/>
  </w:font>
  <w:font w:name="Georgia">
    <w:panose1 w:val="02040502050405020303"/>
    <w:charset w:val="00"/>
    <w:family w:val="roman"/>
    <w:pitch w:val="variable"/>
    <w:sig w:usb0="00000287" w:usb1="00000000" w:usb2="00000000" w:usb3="00000000" w:csb0="0000009F" w:csb1="00000000"/>
    <w:embedBoldItalic r:id="rId11" w:fontKey="{1F01961F-74DD-4A53-8969-36136DF71667}"/>
  </w:font>
  <w:font w:name="DengXian">
    <w:altName w:val="等线"/>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embedRegular r:id="rId12" w:fontKey="{FD440D15-6BA6-4A9E-B66E-C39561B45E8C}"/>
  </w:font>
  <w:font w:name="Calibri">
    <w:panose1 w:val="020F0502020204030204"/>
    <w:charset w:val="00"/>
    <w:family w:val="swiss"/>
    <w:pitch w:val="variable"/>
    <w:sig w:usb0="E4002EFF" w:usb1="C200247B" w:usb2="00000009" w:usb3="00000000" w:csb0="000001FF" w:csb1="00000000"/>
    <w:embedRegular r:id="rId13" w:fontKey="{06C9CE98-E72A-4030-8B7E-B32BCA3555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E40F2" w14:textId="77777777" w:rsidR="00EE5DFE" w:rsidRDefault="00EE5DFE">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C04C" w14:textId="77777777" w:rsidR="00EE5DFE" w:rsidRDefault="00EE5DFE">
    <w:pPr>
      <w:pBdr>
        <w:top w:val="single" w:sz="4" w:space="0" w:color="000000"/>
      </w:pBdr>
      <w:tabs>
        <w:tab w:val="right" w:pos="8844"/>
      </w:tabs>
      <w:spacing w:before="480" w:line="100" w:lineRule="auto"/>
      <w:jc w:val="left"/>
      <w:rPr>
        <w:i/>
        <w:iCs/>
        <w:sz w:val="16"/>
        <w:szCs w:val="16"/>
      </w:rPr>
    </w:pPr>
  </w:p>
  <w:p w14:paraId="3691F73B" w14:textId="178C8639" w:rsidR="00EE5DFE" w:rsidRDefault="00000000">
    <w:pPr>
      <w:tabs>
        <w:tab w:val="right" w:pos="10466"/>
      </w:tabs>
      <w:rPr>
        <w:sz w:val="16"/>
        <w:szCs w:val="16"/>
      </w:rPr>
    </w:pPr>
    <w:r w:rsidRPr="00AB1711">
      <w:rPr>
        <w:sz w:val="16"/>
        <w:szCs w:val="16"/>
      </w:rPr>
      <w:t xml:space="preserve">DOI </w:t>
    </w:r>
    <w:r w:rsidRPr="00AB1711">
      <w:rPr>
        <w:sz w:val="16"/>
        <w:szCs w:val="16"/>
      </w:rPr>
      <w:t xml:space="preserve">: </w:t>
    </w:r>
    <w:hyperlink r:id="rId1" w:history="1">
      <w:r w:rsidR="00AB1711" w:rsidRPr="00F6234E">
        <w:rPr>
          <w:rStyle w:val="Hyperlink"/>
          <w:sz w:val="16"/>
          <w:szCs w:val="16"/>
        </w:rPr>
        <w:t>https://doi.org/10.55606/ijemr.v4i3.684</w:t>
      </w:r>
    </w:hyperlink>
    <w:r w:rsidRPr="00AB1711">
      <w:rPr>
        <w:sz w:val="16"/>
        <w:szCs w:val="16"/>
      </w:rPr>
      <w:tab/>
    </w:r>
    <w:hyperlink r:id="rId2">
      <w:r w:rsidRPr="00AB1711">
        <w:rPr>
          <w:color w:val="0000FF"/>
          <w:sz w:val="16"/>
          <w:szCs w:val="16"/>
          <w:u w:val="single"/>
        </w:rPr>
        <w:t>https://ijemr.asia/index.php/ijemr</w:t>
      </w:r>
    </w:hyperlink>
    <w:r>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7C2D5" w14:textId="77777777" w:rsidR="006F08F7" w:rsidRDefault="006F08F7">
      <w:r>
        <w:separator/>
      </w:r>
    </w:p>
  </w:footnote>
  <w:footnote w:type="continuationSeparator" w:id="0">
    <w:p w14:paraId="376751EB" w14:textId="77777777" w:rsidR="006F08F7" w:rsidRDefault="006F0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84B75" w14:textId="77777777" w:rsidR="00EE5DFE" w:rsidRDefault="00EE5DFE">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3D3C" w14:textId="3BFC0743" w:rsidR="00EE5DFE" w:rsidRDefault="00000000">
    <w:pPr>
      <w:tabs>
        <w:tab w:val="right" w:pos="10466"/>
      </w:tabs>
      <w:rPr>
        <w:sz w:val="16"/>
        <w:szCs w:val="16"/>
      </w:rPr>
    </w:pPr>
    <w:r w:rsidRPr="00AB1711">
      <w:rPr>
        <w:sz w:val="16"/>
        <w:szCs w:val="16"/>
      </w:rPr>
      <w:t>International Journal of Economics and Management Research 2025 (</w:t>
    </w:r>
    <w:r w:rsidR="00AB1711">
      <w:rPr>
        <w:sz w:val="16"/>
        <w:szCs w:val="16"/>
      </w:rPr>
      <w:t>December</w:t>
    </w:r>
    <w:r w:rsidRPr="00AB1711">
      <w:rPr>
        <w:sz w:val="16"/>
        <w:szCs w:val="16"/>
      </w:rPr>
      <w:t xml:space="preserve">), vol. 4, no. 3, </w:t>
    </w:r>
    <w:r w:rsidR="00AB1711" w:rsidRPr="00AB1711">
      <w:rPr>
        <w:sz w:val="16"/>
        <w:szCs w:val="16"/>
      </w:rPr>
      <w:t>Fatimah</w:t>
    </w:r>
    <w:r w:rsidRPr="00AB1711">
      <w:rPr>
        <w:sz w:val="16"/>
        <w:szCs w:val="16"/>
      </w:rPr>
      <w:t xml:space="preserve">, et al. </w:t>
    </w:r>
    <w:r w:rsidRPr="00AB1711">
      <w:rPr>
        <w:sz w:val="16"/>
        <w:szCs w:val="16"/>
      </w:rPr>
      <w:tab/>
    </w:r>
    <w:r w:rsidRPr="00AB1711">
      <w:rPr>
        <w:sz w:val="16"/>
        <w:szCs w:val="16"/>
      </w:rPr>
      <w:fldChar w:fldCharType="begin"/>
    </w:r>
    <w:r w:rsidRPr="00AB1711">
      <w:rPr>
        <w:sz w:val="16"/>
        <w:szCs w:val="16"/>
      </w:rPr>
      <w:instrText>PAGE</w:instrText>
    </w:r>
    <w:r w:rsidRPr="00AB1711">
      <w:rPr>
        <w:sz w:val="16"/>
        <w:szCs w:val="16"/>
      </w:rPr>
      <w:fldChar w:fldCharType="separate"/>
    </w:r>
    <w:r w:rsidR="00AB1711" w:rsidRPr="00AB1711">
      <w:rPr>
        <w:noProof/>
        <w:sz w:val="16"/>
        <w:szCs w:val="16"/>
      </w:rPr>
      <w:t>2</w:t>
    </w:r>
    <w:r w:rsidRPr="00AB1711">
      <w:rPr>
        <w:sz w:val="16"/>
        <w:szCs w:val="16"/>
      </w:rPr>
      <w:fldChar w:fldCharType="end"/>
    </w:r>
    <w:r w:rsidRPr="00AB1711">
      <w:rPr>
        <w:sz w:val="16"/>
        <w:szCs w:val="16"/>
      </w:rPr>
      <w:t xml:space="preserve"> dari </w:t>
    </w:r>
    <w:r w:rsidR="00AB1711">
      <w:rPr>
        <w:sz w:val="16"/>
        <w:szCs w:val="16"/>
      </w:rPr>
      <w:t>805</w:t>
    </w:r>
  </w:p>
  <w:p w14:paraId="75B3FFE2" w14:textId="77777777" w:rsidR="00EE5DFE" w:rsidRDefault="00EE5DFE">
    <w:pPr>
      <w:pBdr>
        <w:bottom w:val="single" w:sz="4" w:space="1" w:color="000000"/>
      </w:pBdr>
      <w:tabs>
        <w:tab w:val="right" w:pos="8844"/>
      </w:tabs>
      <w:spacing w:after="480" w:line="100" w:lineRule="auto"/>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1FF3C" w14:textId="77777777" w:rsidR="00EE5DFE" w:rsidRDefault="00EE5DFE">
    <w:pPr>
      <w:widowControl w:val="0"/>
      <w:pBdr>
        <w:top w:val="nil"/>
        <w:left w:val="nil"/>
        <w:bottom w:val="nil"/>
        <w:right w:val="nil"/>
        <w:between w:val="nil"/>
      </w:pBdr>
      <w:spacing w:line="276" w:lineRule="auto"/>
      <w:jc w:val="left"/>
      <w:rPr>
        <w:sz w:val="16"/>
        <w:szCs w:val="16"/>
      </w:rPr>
    </w:pPr>
  </w:p>
  <w:tbl>
    <w:tblPr>
      <w:tblStyle w:val="ab"/>
      <w:tblW w:w="10490" w:type="dxa"/>
      <w:tblLayout w:type="fixed"/>
      <w:tblLook w:val="0400" w:firstRow="0" w:lastRow="0" w:firstColumn="0" w:lastColumn="0" w:noHBand="0" w:noVBand="1"/>
    </w:tblPr>
    <w:tblGrid>
      <w:gridCol w:w="1985"/>
      <w:gridCol w:w="6946"/>
      <w:gridCol w:w="1559"/>
    </w:tblGrid>
    <w:tr w:rsidR="00EE5DFE" w14:paraId="12734960" w14:textId="77777777">
      <w:trPr>
        <w:trHeight w:val="1276"/>
      </w:trPr>
      <w:tc>
        <w:tcPr>
          <w:tcW w:w="1985" w:type="dxa"/>
          <w:vAlign w:val="center"/>
        </w:tcPr>
        <w:p w14:paraId="03496297" w14:textId="77777777" w:rsidR="00EE5DFE" w:rsidRDefault="00000000">
          <w:pPr>
            <w:pBdr>
              <w:top w:val="nil"/>
              <w:left w:val="nil"/>
              <w:bottom w:val="none" w:sz="0" w:space="0" w:color="000000"/>
              <w:right w:val="nil"/>
              <w:between w:val="nil"/>
            </w:pBdr>
            <w:tabs>
              <w:tab w:val="center" w:pos="4153"/>
              <w:tab w:val="right" w:pos="8306"/>
            </w:tabs>
            <w:jc w:val="left"/>
            <w:rPr>
              <w:b w:val="0"/>
              <w:bCs w:val="0"/>
              <w:color w:val="000000"/>
            </w:rPr>
          </w:pPr>
          <w:r>
            <w:rPr>
              <w:noProof/>
            </w:rPr>
            <w:drawing>
              <wp:anchor distT="0" distB="0" distL="114300" distR="114300" simplePos="0" relativeHeight="251658240" behindDoc="0" locked="0" layoutInCell="1" hidden="0" allowOverlap="1" wp14:anchorId="2D140605" wp14:editId="7437AAF4">
                <wp:simplePos x="0" y="0"/>
                <wp:positionH relativeFrom="column">
                  <wp:posOffset>137160</wp:posOffset>
                </wp:positionH>
                <wp:positionV relativeFrom="paragraph">
                  <wp:posOffset>10795</wp:posOffset>
                </wp:positionV>
                <wp:extent cx="952500" cy="340360"/>
                <wp:effectExtent l="0" t="0" r="0" b="0"/>
                <wp:wrapNone/>
                <wp:docPr id="8657459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952500" cy="340360"/>
                        </a:xfrm>
                        <a:prstGeom prst="rect">
                          <a:avLst/>
                        </a:prstGeom>
                        <a:ln/>
                      </pic:spPr>
                    </pic:pic>
                  </a:graphicData>
                </a:graphic>
              </wp:anchor>
            </w:drawing>
          </w:r>
        </w:p>
      </w:tc>
      <w:tc>
        <w:tcPr>
          <w:tcW w:w="6946" w:type="dxa"/>
          <w:vAlign w:val="center"/>
        </w:tcPr>
        <w:p w14:paraId="3157DA67" w14:textId="77777777" w:rsidR="00EE5DFE" w:rsidRDefault="00000000">
          <w:pPr>
            <w:pBdr>
              <w:top w:val="nil"/>
              <w:left w:val="nil"/>
              <w:bottom w:val="none" w:sz="0" w:space="0" w:color="000000"/>
              <w:right w:val="nil"/>
              <w:between w:val="nil"/>
            </w:pBdr>
            <w:tabs>
              <w:tab w:val="center" w:pos="4153"/>
              <w:tab w:val="right" w:pos="8306"/>
            </w:tabs>
            <w:ind w:left="-5"/>
            <w:jc w:val="center"/>
            <w:rPr>
              <w:b w:val="0"/>
              <w:bCs w:val="0"/>
              <w:i/>
              <w:iCs/>
              <w:sz w:val="20"/>
              <w:szCs w:val="20"/>
            </w:rPr>
          </w:pPr>
          <w:r>
            <w:rPr>
              <w:color w:val="000000"/>
              <w:sz w:val="36"/>
              <w:szCs w:val="36"/>
            </w:rPr>
            <w:t xml:space="preserve">International Journal of Economics and </w:t>
          </w:r>
        </w:p>
        <w:p w14:paraId="126266F5" w14:textId="77777777" w:rsidR="00EE5DFE" w:rsidRDefault="00000000">
          <w:pPr>
            <w:pBdr>
              <w:top w:val="nil"/>
              <w:left w:val="nil"/>
              <w:bottom w:val="none" w:sz="0" w:space="0" w:color="000000"/>
              <w:right w:val="nil"/>
              <w:between w:val="nil"/>
            </w:pBdr>
            <w:tabs>
              <w:tab w:val="center" w:pos="4153"/>
              <w:tab w:val="right" w:pos="8306"/>
            </w:tabs>
            <w:ind w:left="-5"/>
            <w:jc w:val="center"/>
            <w:rPr>
              <w:color w:val="000000"/>
              <w:sz w:val="36"/>
              <w:szCs w:val="36"/>
            </w:rPr>
          </w:pPr>
          <w:r>
            <w:rPr>
              <w:color w:val="000000"/>
              <w:sz w:val="36"/>
              <w:szCs w:val="36"/>
            </w:rPr>
            <w:t>Management Research</w:t>
          </w:r>
        </w:p>
      </w:tc>
      <w:tc>
        <w:tcPr>
          <w:tcW w:w="1559" w:type="dxa"/>
          <w:vAlign w:val="center"/>
        </w:tcPr>
        <w:p w14:paraId="64147EB2" w14:textId="77777777" w:rsidR="00EE5DFE" w:rsidRDefault="00000000">
          <w:pPr>
            <w:pBdr>
              <w:top w:val="nil"/>
              <w:left w:val="nil"/>
              <w:bottom w:val="none" w:sz="0" w:space="0" w:color="000000"/>
              <w:right w:val="nil"/>
              <w:between w:val="nil"/>
            </w:pBdr>
            <w:tabs>
              <w:tab w:val="center" w:pos="4153"/>
              <w:tab w:val="right" w:pos="8306"/>
            </w:tabs>
            <w:jc w:val="right"/>
            <w:rPr>
              <w:b w:val="0"/>
              <w:bCs w:val="0"/>
              <w:color w:val="000000"/>
              <w:sz w:val="18"/>
              <w:szCs w:val="18"/>
            </w:rPr>
          </w:pPr>
          <w:r>
            <w:rPr>
              <w:b w:val="0"/>
              <w:bCs w:val="0"/>
              <w:color w:val="000000"/>
              <w:sz w:val="18"/>
              <w:szCs w:val="18"/>
            </w:rPr>
            <w:t>E-ISSN:</w:t>
          </w:r>
          <w:r>
            <w:rPr>
              <w:color w:val="000000"/>
              <w:sz w:val="18"/>
              <w:szCs w:val="18"/>
            </w:rPr>
            <w:t xml:space="preserve"> </w:t>
          </w:r>
          <w:r>
            <w:rPr>
              <w:b w:val="0"/>
              <w:bCs w:val="0"/>
              <w:color w:val="000000"/>
              <w:sz w:val="18"/>
              <w:szCs w:val="18"/>
            </w:rPr>
            <w:t>2830-2508</w:t>
          </w:r>
        </w:p>
        <w:p w14:paraId="014D6DA0" w14:textId="77777777" w:rsidR="00EE5DFE" w:rsidRDefault="00000000">
          <w:pPr>
            <w:pBdr>
              <w:top w:val="nil"/>
              <w:left w:val="nil"/>
              <w:bottom w:val="none" w:sz="0" w:space="0" w:color="000000"/>
              <w:right w:val="nil"/>
              <w:between w:val="nil"/>
            </w:pBdr>
            <w:tabs>
              <w:tab w:val="center" w:pos="4153"/>
              <w:tab w:val="right" w:pos="8306"/>
            </w:tabs>
            <w:jc w:val="right"/>
            <w:rPr>
              <w:b w:val="0"/>
              <w:bCs w:val="0"/>
              <w:color w:val="000000"/>
              <w:sz w:val="18"/>
              <w:szCs w:val="18"/>
            </w:rPr>
          </w:pPr>
          <w:r>
            <w:rPr>
              <w:b w:val="0"/>
              <w:bCs w:val="0"/>
              <w:color w:val="000000"/>
              <w:sz w:val="18"/>
              <w:szCs w:val="18"/>
            </w:rPr>
            <w:t>P-ISSN:</w:t>
          </w:r>
          <w:r>
            <w:rPr>
              <w:color w:val="000000"/>
              <w:sz w:val="18"/>
              <w:szCs w:val="18"/>
            </w:rPr>
            <w:t xml:space="preserve"> </w:t>
          </w:r>
          <w:r>
            <w:rPr>
              <w:b w:val="0"/>
              <w:bCs w:val="0"/>
              <w:color w:val="000000"/>
              <w:sz w:val="18"/>
              <w:szCs w:val="18"/>
            </w:rPr>
            <w:t>2830-2664</w:t>
          </w:r>
        </w:p>
      </w:tc>
    </w:tr>
  </w:tbl>
  <w:p w14:paraId="6BD2AED5" w14:textId="77777777" w:rsidR="00EE5DFE" w:rsidRDefault="00EE5DFE">
    <w:pPr>
      <w:pBdr>
        <w:bottom w:val="single" w:sz="4" w:space="0" w:color="000000"/>
      </w:pBdr>
      <w:spacing w:line="100"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E3342"/>
    <w:multiLevelType w:val="multilevel"/>
    <w:tmpl w:val="2E0266C8"/>
    <w:lvl w:ilvl="0">
      <w:start w:val="1"/>
      <w:numFmt w:val="decimal"/>
      <w:pStyle w:val="numberingFAIT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10572556">
    <w:abstractNumId w:val="0"/>
  </w:num>
  <w:num w:numId="2" w16cid:durableId="13383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271495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84072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DFE"/>
    <w:rsid w:val="006F08F7"/>
    <w:rsid w:val="00787C95"/>
    <w:rsid w:val="00AB1711"/>
    <w:rsid w:val="00CE3F4E"/>
    <w:rsid w:val="00EE5DFE"/>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06EBBC"/>
  <w15:docId w15:val="{34CE3436-3962-499B-87BA-47D2A640A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b/>
        <w:bCs/>
        <w:sz w:val="22"/>
        <w:szCs w:val="22"/>
        <w:lang w:val="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sz w:val="48"/>
      <w:szCs w:val="48"/>
    </w:rPr>
  </w:style>
  <w:style w:type="paragraph" w:styleId="Heading2">
    <w:name w:val="heading 2"/>
    <w:basedOn w:val="Normal"/>
    <w:next w:val="Normal"/>
    <w:uiPriority w:val="9"/>
    <w:semiHidden/>
    <w:unhideWhenUsed/>
    <w:qFormat/>
    <w:pPr>
      <w:keepNext/>
      <w:keepLines/>
      <w:spacing w:before="360" w:after="80"/>
      <w:outlineLvl w:val="1"/>
    </w:pPr>
    <w:rPr>
      <w:sz w:val="36"/>
      <w:szCs w:val="36"/>
    </w:rPr>
  </w:style>
  <w:style w:type="paragraph" w:styleId="Heading3">
    <w:name w:val="heading 3"/>
    <w:basedOn w:val="Normal"/>
    <w:next w:val="Normal"/>
    <w:uiPriority w:val="9"/>
    <w:semiHidden/>
    <w:unhideWhenUsed/>
    <w:qFormat/>
    <w:pPr>
      <w:keepNext/>
      <w:keepLines/>
      <w:spacing w:before="280" w:after="80"/>
      <w:outlineLvl w:val="2"/>
    </w:pPr>
    <w:rPr>
      <w:sz w:val="28"/>
      <w:szCs w:val="28"/>
    </w:rPr>
  </w:style>
  <w:style w:type="paragraph" w:styleId="Heading4">
    <w:name w:val="heading 4"/>
    <w:basedOn w:val="Normal"/>
    <w:next w:val="Normal"/>
    <w:uiPriority w:val="9"/>
    <w:semiHidden/>
    <w:unhideWhenUsed/>
    <w:qFormat/>
    <w:pPr>
      <w:keepNext/>
      <w:keepLines/>
      <w:spacing w:before="240" w:after="40"/>
      <w:outlineLvl w:val="3"/>
    </w:pPr>
    <w:rPr>
      <w:sz w:val="24"/>
      <w:szCs w:val="24"/>
    </w:rPr>
  </w:style>
  <w:style w:type="paragraph" w:styleId="Heading5">
    <w:name w:val="heading 5"/>
    <w:basedOn w:val="Normal"/>
    <w:next w:val="Normal"/>
    <w:uiPriority w:val="9"/>
    <w:semiHidden/>
    <w:unhideWhenUsed/>
    <w:qFormat/>
    <w:pPr>
      <w:keepNext/>
      <w:keepLines/>
      <w:spacing w:before="220" w:after="40"/>
      <w:outlineLvl w:val="4"/>
    </w:pPr>
  </w:style>
  <w:style w:type="paragraph" w:styleId="Heading6">
    <w:name w:val="heading 6"/>
    <w:basedOn w:val="Normal"/>
    <w:next w:val="Normal"/>
    <w:uiPriority w:val="9"/>
    <w:semiHidden/>
    <w:unhideWhenUsed/>
    <w:qFormat/>
    <w:pPr>
      <w:keepNext/>
      <w:keepLines/>
      <w:spacing w:before="200" w:after="40"/>
      <w:outlineLvl w:val="5"/>
    </w:pPr>
    <w:rPr>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sz w:val="72"/>
      <w:szCs w:val="72"/>
    </w:rPr>
  </w:style>
  <w:style w:type="paragraph" w:customStyle="1" w:styleId="articletypeFAITH">
    <w:name w:val="article_type_FAITH"/>
    <w:next w:val="Normal"/>
    <w:qFormat/>
    <w:rsid w:val="00AD4611"/>
    <w:pPr>
      <w:adjustRightInd w:val="0"/>
      <w:snapToGrid w:val="0"/>
      <w:spacing w:before="240"/>
    </w:pPr>
    <w:rPr>
      <w:rFonts w:eastAsia="Times New Roman"/>
      <w:i/>
      <w:snapToGrid w:val="0"/>
      <w:color w:val="000000"/>
      <w:lang w:eastAsia="de-DE" w:bidi="en-US"/>
    </w:rPr>
  </w:style>
  <w:style w:type="paragraph" w:customStyle="1" w:styleId="JournalTitleFAITH">
    <w:name w:val="Journal_Title_FAITH"/>
    <w:next w:val="Normal"/>
    <w:qFormat/>
    <w:rsid w:val="00040E9F"/>
    <w:pPr>
      <w:adjustRightInd w:val="0"/>
      <w:snapToGrid w:val="0"/>
      <w:spacing w:after="240" w:line="240" w:lineRule="atLeast"/>
    </w:pPr>
    <w:rPr>
      <w:rFonts w:eastAsia="Times New Roman"/>
      <w:snapToGrid w:val="0"/>
      <w:color w:val="000000"/>
      <w:sz w:val="40"/>
      <w:lang w:eastAsia="de-DE" w:bidi="en-US"/>
    </w:rPr>
  </w:style>
  <w:style w:type="paragraph" w:customStyle="1" w:styleId="AuthorNamesFAITH">
    <w:name w:val="Author Names_FAITH"/>
    <w:next w:val="Normal"/>
    <w:qFormat/>
    <w:rsid w:val="00011F03"/>
    <w:pPr>
      <w:adjustRightInd w:val="0"/>
      <w:snapToGrid w:val="0"/>
      <w:spacing w:after="360" w:line="260" w:lineRule="atLeast"/>
    </w:pPr>
    <w:rPr>
      <w:rFonts w:eastAsia="Times New Roman"/>
      <w:color w:val="000000"/>
      <w:lang w:eastAsia="de-DE" w:bidi="en-US"/>
    </w:rPr>
  </w:style>
  <w:style w:type="paragraph" w:customStyle="1" w:styleId="historyFAITH">
    <w:name w:val="history_FAITH"/>
    <w:basedOn w:val="Normal"/>
    <w:next w:val="Normal"/>
    <w:qFormat/>
    <w:rsid w:val="00011F03"/>
    <w:pPr>
      <w:adjustRightInd w:val="0"/>
      <w:snapToGrid w:val="0"/>
      <w:spacing w:line="240" w:lineRule="atLeast"/>
      <w:ind w:right="113"/>
      <w:jc w:val="left"/>
    </w:pPr>
    <w:rPr>
      <w:rFonts w:eastAsia="Times New Roman"/>
      <w:sz w:val="16"/>
      <w:lang w:eastAsia="de-DE" w:bidi="en-US"/>
    </w:rPr>
  </w:style>
  <w:style w:type="paragraph" w:customStyle="1" w:styleId="authoraffiliationFAITH">
    <w:name w:val="author_affiliation_FAITH"/>
    <w:qFormat/>
    <w:rsid w:val="00011F03"/>
    <w:pPr>
      <w:adjustRightInd w:val="0"/>
      <w:snapToGrid w:val="0"/>
      <w:spacing w:line="200" w:lineRule="atLeast"/>
      <w:ind w:left="2806" w:hanging="198"/>
    </w:pPr>
    <w:rPr>
      <w:rFonts w:eastAsia="Times New Roman"/>
      <w:color w:val="000000"/>
      <w:sz w:val="18"/>
      <w:szCs w:val="18"/>
      <w:lang w:eastAsia="de-DE" w:bidi="en-US"/>
    </w:rPr>
  </w:style>
  <w:style w:type="paragraph" w:customStyle="1" w:styleId="abstractFAITH">
    <w:name w:val="abstract_FAITH"/>
    <w:next w:val="Normal"/>
    <w:qFormat/>
    <w:rsid w:val="00011F03"/>
    <w:pPr>
      <w:adjustRightInd w:val="0"/>
      <w:snapToGrid w:val="0"/>
      <w:spacing w:before="240" w:line="260" w:lineRule="atLeast"/>
      <w:ind w:left="2608"/>
    </w:pPr>
    <w:rPr>
      <w:rFonts w:eastAsia="Times New Roman"/>
      <w:color w:val="000000"/>
      <w:lang w:eastAsia="de-DE" w:bidi="en-US"/>
    </w:rPr>
  </w:style>
  <w:style w:type="paragraph" w:customStyle="1" w:styleId="keywordsFAITH">
    <w:name w:val="keywords_FAITH"/>
    <w:next w:val="Normal"/>
    <w:qFormat/>
    <w:rsid w:val="00011F03"/>
    <w:pPr>
      <w:adjustRightInd w:val="0"/>
      <w:snapToGrid w:val="0"/>
      <w:spacing w:before="240" w:line="260" w:lineRule="atLeast"/>
      <w:ind w:left="2608"/>
    </w:pPr>
    <w:rPr>
      <w:rFonts w:eastAsia="Times New Roman"/>
      <w:snapToGrid w:val="0"/>
      <w:color w:val="000000"/>
      <w:lang w:eastAsia="de-DE" w:bidi="en-US"/>
    </w:rPr>
  </w:style>
  <w:style w:type="paragraph" w:customStyle="1" w:styleId="MDPI19line">
    <w:name w:val="MDPI_1.9_line"/>
    <w:rsid w:val="00F14517"/>
    <w:pPr>
      <w:pBdr>
        <w:bottom w:val="single" w:sz="6" w:space="1" w:color="auto"/>
      </w:pBdr>
      <w:adjustRightInd w:val="0"/>
      <w:snapToGrid w:val="0"/>
      <w:spacing w:after="480" w:line="260" w:lineRule="atLeast"/>
      <w:ind w:left="2608"/>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0E2F14"/>
    <w:pPr>
      <w:adjustRightInd w:val="0"/>
      <w:snapToGrid w:val="0"/>
      <w:spacing w:line="300" w:lineRule="exact"/>
      <w:jc w:val="center"/>
    </w:pPr>
    <w:rPr>
      <w:rFonts w:ascii="Times New Roman" w:hAnsi="Times New Roman"/>
      <w:lang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14517"/>
    <w:pPr>
      <w:spacing w:line="260" w:lineRule="atLeast"/>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14517"/>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F14517"/>
    <w:rPr>
      <w:rFonts w:ascii="Palatino Linotype" w:hAnsi="Palatino Linotype"/>
      <w:noProof/>
      <w:color w:val="000000"/>
      <w:szCs w:val="18"/>
    </w:rPr>
  </w:style>
  <w:style w:type="paragraph" w:styleId="Header">
    <w:name w:val="header"/>
    <w:basedOn w:val="Normal"/>
    <w:link w:val="HeaderChar"/>
    <w:uiPriority w:val="99"/>
    <w:rsid w:val="00F14517"/>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F14517"/>
    <w:rPr>
      <w:rFonts w:ascii="Palatino Linotype" w:hAnsi="Palatino Linotype"/>
      <w:noProof/>
      <w:color w:val="000000"/>
      <w:szCs w:val="18"/>
    </w:rPr>
  </w:style>
  <w:style w:type="paragraph" w:customStyle="1" w:styleId="MDPIheaderjournallogo">
    <w:name w:val="MDPI_header_journal_logo"/>
    <w:rsid w:val="00F14517"/>
    <w:pPr>
      <w:adjustRightInd w:val="0"/>
      <w:snapToGrid w:val="0"/>
      <w:spacing w:line="260" w:lineRule="atLeast"/>
    </w:pPr>
    <w:rPr>
      <w:rFonts w:ascii="Palatino Linotype" w:eastAsia="Times New Roman" w:hAnsi="Palatino Linotype"/>
      <w:i/>
      <w:color w:val="000000"/>
      <w:sz w:val="24"/>
      <w:lang w:eastAsia="de-CH"/>
    </w:rPr>
  </w:style>
  <w:style w:type="paragraph" w:customStyle="1" w:styleId="MDPI32textnoindent">
    <w:name w:val="MDPI_3.2_text_no_indent"/>
    <w:basedOn w:val="maintextFAITH"/>
    <w:rsid w:val="00F14517"/>
    <w:pPr>
      <w:ind w:firstLine="0"/>
    </w:pPr>
  </w:style>
  <w:style w:type="paragraph" w:customStyle="1" w:styleId="maintextFAITH">
    <w:name w:val="maintext_FAITH"/>
    <w:link w:val="maintextFAITHChar"/>
    <w:qFormat/>
    <w:rsid w:val="00011F03"/>
    <w:pPr>
      <w:adjustRightInd w:val="0"/>
      <w:snapToGrid w:val="0"/>
      <w:spacing w:line="228" w:lineRule="auto"/>
      <w:ind w:left="2608" w:firstLine="425"/>
    </w:pPr>
    <w:rPr>
      <w:rFonts w:eastAsia="Times New Roman"/>
      <w:snapToGrid w:val="0"/>
      <w:color w:val="000000"/>
      <w:lang w:eastAsia="de-DE" w:bidi="en-US"/>
    </w:rPr>
  </w:style>
  <w:style w:type="paragraph" w:customStyle="1" w:styleId="MDPI33textspaceafter">
    <w:name w:val="MDPI_3.3_text_space_after"/>
    <w:rsid w:val="00F14517"/>
    <w:pPr>
      <w:adjustRightInd w:val="0"/>
      <w:snapToGrid w:val="0"/>
      <w:spacing w:after="240" w:line="228" w:lineRule="auto"/>
      <w:ind w:left="2608"/>
    </w:pPr>
    <w:rPr>
      <w:rFonts w:ascii="Palatino Linotype" w:eastAsia="Times New Roman" w:hAnsi="Palatino Linotype"/>
      <w:snapToGrid w:val="0"/>
      <w:color w:val="000000"/>
      <w:lang w:eastAsia="de-DE" w:bidi="en-US"/>
    </w:rPr>
  </w:style>
  <w:style w:type="paragraph" w:customStyle="1" w:styleId="textbeforelistFAITH">
    <w:name w:val="text_before_list_FAITH"/>
    <w:qFormat/>
    <w:rsid w:val="00011F03"/>
    <w:pPr>
      <w:adjustRightInd w:val="0"/>
      <w:snapToGrid w:val="0"/>
      <w:spacing w:line="228" w:lineRule="auto"/>
      <w:ind w:left="2608" w:firstLine="425"/>
    </w:pPr>
    <w:rPr>
      <w:rFonts w:eastAsia="Times New Roman"/>
      <w:snapToGrid w:val="0"/>
      <w:color w:val="000000"/>
      <w:lang w:eastAsia="de-DE" w:bidi="en-US"/>
    </w:rPr>
  </w:style>
  <w:style w:type="paragraph" w:customStyle="1" w:styleId="MDPI36textafterlist">
    <w:name w:val="MDPI_3.6_text_after_list"/>
    <w:rsid w:val="00F14517"/>
    <w:pPr>
      <w:adjustRightInd w:val="0"/>
      <w:snapToGrid w:val="0"/>
      <w:spacing w:before="120" w:line="228" w:lineRule="auto"/>
      <w:ind w:left="2608"/>
    </w:pPr>
    <w:rPr>
      <w:rFonts w:ascii="Palatino Linotype" w:eastAsia="Times New Roman" w:hAnsi="Palatino Linotype"/>
      <w:snapToGrid w:val="0"/>
      <w:color w:val="000000"/>
      <w:lang w:eastAsia="de-DE" w:bidi="en-US"/>
    </w:rPr>
  </w:style>
  <w:style w:type="paragraph" w:customStyle="1" w:styleId="numberingFAITH">
    <w:name w:val="numbering_FAITH"/>
    <w:qFormat/>
    <w:rsid w:val="00011F03"/>
    <w:pPr>
      <w:numPr>
        <w:numId w:val="1"/>
      </w:numPr>
      <w:adjustRightInd w:val="0"/>
      <w:snapToGrid w:val="0"/>
      <w:spacing w:line="228" w:lineRule="auto"/>
    </w:pPr>
    <w:rPr>
      <w:rFonts w:eastAsia="Times New Roman"/>
      <w:color w:val="000000"/>
      <w:lang w:eastAsia="de-DE" w:bidi="en-US"/>
    </w:rPr>
  </w:style>
  <w:style w:type="paragraph" w:customStyle="1" w:styleId="bulletFAITH">
    <w:name w:val="bullet_FAITH"/>
    <w:qFormat/>
    <w:rsid w:val="00011F03"/>
    <w:pPr>
      <w:tabs>
        <w:tab w:val="num" w:pos="720"/>
      </w:tabs>
      <w:adjustRightInd w:val="0"/>
      <w:snapToGrid w:val="0"/>
      <w:spacing w:line="228" w:lineRule="auto"/>
      <w:ind w:left="720" w:hanging="720"/>
    </w:pPr>
    <w:rPr>
      <w:rFonts w:eastAsia="Times New Roman"/>
      <w:color w:val="000000"/>
      <w:lang w:eastAsia="de-DE" w:bidi="en-US"/>
    </w:rPr>
  </w:style>
  <w:style w:type="paragraph" w:customStyle="1" w:styleId="equationFAITH">
    <w:name w:val="equation_FAITH"/>
    <w:qFormat/>
    <w:rsid w:val="00D97868"/>
    <w:pPr>
      <w:adjustRightInd w:val="0"/>
      <w:snapToGrid w:val="0"/>
      <w:spacing w:before="120" w:after="120" w:line="260" w:lineRule="atLeast"/>
      <w:jc w:val="center"/>
    </w:pPr>
    <w:rPr>
      <w:rFonts w:eastAsia="Times New Roman"/>
      <w:snapToGrid w:val="0"/>
      <w:color w:val="000000"/>
      <w:lang w:eastAsia="de-DE" w:bidi="en-US"/>
    </w:rPr>
  </w:style>
  <w:style w:type="paragraph" w:customStyle="1" w:styleId="MDPI3aequationnumber">
    <w:name w:val="MDPI_3.a_equation_number"/>
    <w:rsid w:val="00F14517"/>
    <w:pPr>
      <w:spacing w:before="120" w:after="120"/>
      <w:jc w:val="right"/>
    </w:pPr>
    <w:rPr>
      <w:rFonts w:ascii="Palatino Linotype" w:eastAsia="Times New Roman" w:hAnsi="Palatino Linotype"/>
      <w:snapToGrid w:val="0"/>
      <w:color w:val="000000"/>
      <w:lang w:eastAsia="de-DE" w:bidi="en-US"/>
    </w:rPr>
  </w:style>
  <w:style w:type="paragraph" w:customStyle="1" w:styleId="tablecaptionFAITH">
    <w:name w:val="table_caption_FAITH"/>
    <w:qFormat/>
    <w:rsid w:val="00011F03"/>
    <w:pPr>
      <w:adjustRightInd w:val="0"/>
      <w:snapToGrid w:val="0"/>
      <w:spacing w:before="240" w:after="120" w:line="228" w:lineRule="auto"/>
      <w:ind w:left="2608"/>
      <w:jc w:val="center"/>
    </w:pPr>
    <w:rPr>
      <w:rFonts w:eastAsia="Times New Roman" w:cs="Cordia New"/>
      <w:color w:val="000000"/>
      <w:lang w:eastAsia="de-DE" w:bidi="en-US"/>
    </w:rPr>
  </w:style>
  <w:style w:type="paragraph" w:customStyle="1" w:styleId="tablecontentFAITH">
    <w:name w:val="table_content_FAITH"/>
    <w:qFormat/>
    <w:rsid w:val="00011F03"/>
    <w:pPr>
      <w:adjustRightInd w:val="0"/>
      <w:snapToGrid w:val="0"/>
      <w:spacing w:line="260" w:lineRule="atLeast"/>
      <w:jc w:val="center"/>
    </w:pPr>
    <w:rPr>
      <w:rFonts w:eastAsia="Times New Roman"/>
      <w:snapToGrid w:val="0"/>
      <w:color w:val="000000"/>
      <w:lang w:eastAsia="de-DE" w:bidi="en-US"/>
    </w:rPr>
  </w:style>
  <w:style w:type="paragraph" w:customStyle="1" w:styleId="tablefooterJCTA">
    <w:name w:val="table_footer_JCTA"/>
    <w:next w:val="maintextFAITH"/>
    <w:rsid w:val="00EA1A7A"/>
    <w:pPr>
      <w:adjustRightInd w:val="0"/>
      <w:snapToGrid w:val="0"/>
      <w:spacing w:line="228" w:lineRule="auto"/>
      <w:ind w:left="2608"/>
    </w:pPr>
    <w:rPr>
      <w:rFonts w:eastAsia="Times New Roman" w:cs="Cordia New"/>
      <w:color w:val="000000"/>
      <w:lang w:eastAsia="de-DE" w:bidi="en-US"/>
    </w:rPr>
  </w:style>
  <w:style w:type="paragraph" w:customStyle="1" w:styleId="figurecaptionFAITH">
    <w:name w:val="figure_caption_FAITH"/>
    <w:qFormat/>
    <w:rsid w:val="00011F03"/>
    <w:pPr>
      <w:adjustRightInd w:val="0"/>
      <w:snapToGrid w:val="0"/>
      <w:spacing w:before="120" w:after="240" w:line="228" w:lineRule="auto"/>
      <w:ind w:left="2608"/>
      <w:jc w:val="center"/>
    </w:pPr>
    <w:rPr>
      <w:rFonts w:eastAsia="Times New Roman"/>
      <w:color w:val="000000"/>
      <w:lang w:eastAsia="de-DE" w:bidi="en-US"/>
    </w:rPr>
  </w:style>
  <w:style w:type="paragraph" w:customStyle="1" w:styleId="figureFAITH">
    <w:name w:val="figure_FAITH"/>
    <w:basedOn w:val="figurecaptionFAITH"/>
    <w:next w:val="maintextFAITH"/>
    <w:qFormat/>
    <w:rsid w:val="00632110"/>
    <w:pPr>
      <w:spacing w:before="240" w:after="120"/>
    </w:pPr>
    <w:rPr>
      <w:snapToGrid w:val="0"/>
    </w:rPr>
  </w:style>
  <w:style w:type="paragraph" w:customStyle="1" w:styleId="heading3FAITH">
    <w:name w:val="heading3_FAITH"/>
    <w:qFormat/>
    <w:rsid w:val="00D854C3"/>
    <w:pPr>
      <w:adjustRightInd w:val="0"/>
      <w:snapToGrid w:val="0"/>
      <w:spacing w:before="60" w:after="60" w:line="228" w:lineRule="auto"/>
      <w:ind w:left="2608"/>
      <w:outlineLvl w:val="2"/>
    </w:pPr>
    <w:rPr>
      <w:rFonts w:eastAsia="Times New Roman"/>
      <w:i/>
      <w:snapToGrid w:val="0"/>
      <w:color w:val="000000"/>
      <w:lang w:eastAsia="de-DE" w:bidi="en-US"/>
    </w:rPr>
  </w:style>
  <w:style w:type="paragraph" w:customStyle="1" w:styleId="heading1FAITH">
    <w:name w:val="heading1_FAITH"/>
    <w:qFormat/>
    <w:rsid w:val="00011F03"/>
    <w:pPr>
      <w:adjustRightInd w:val="0"/>
      <w:snapToGrid w:val="0"/>
      <w:spacing w:before="240" w:after="60" w:line="228" w:lineRule="auto"/>
      <w:ind w:left="2608"/>
      <w:outlineLvl w:val="0"/>
    </w:pPr>
    <w:rPr>
      <w:rFonts w:eastAsia="Times New Roman"/>
      <w:snapToGrid w:val="0"/>
      <w:color w:val="000000"/>
      <w:sz w:val="24"/>
      <w:lang w:eastAsia="de-DE" w:bidi="en-US"/>
    </w:rPr>
  </w:style>
  <w:style w:type="paragraph" w:customStyle="1" w:styleId="heading2FAITH">
    <w:name w:val="heading2_FAITH"/>
    <w:qFormat/>
    <w:rsid w:val="00A71144"/>
    <w:pPr>
      <w:adjustRightInd w:val="0"/>
      <w:snapToGrid w:val="0"/>
      <w:spacing w:before="240" w:after="60" w:line="228" w:lineRule="auto"/>
      <w:ind w:left="2608"/>
      <w:outlineLvl w:val="1"/>
    </w:pPr>
    <w:rPr>
      <w:rFonts w:eastAsia="Times New Roman"/>
      <w:noProof/>
      <w:snapToGrid w:val="0"/>
      <w:color w:val="000000"/>
      <w:lang w:eastAsia="de-DE" w:bidi="en-US"/>
    </w:rPr>
  </w:style>
  <w:style w:type="paragraph" w:customStyle="1" w:styleId="ReferencesFAITH">
    <w:name w:val="References_FAITH"/>
    <w:qFormat/>
    <w:rsid w:val="0016713E"/>
    <w:pPr>
      <w:adjustRightInd w:val="0"/>
      <w:snapToGrid w:val="0"/>
      <w:spacing w:line="228" w:lineRule="auto"/>
      <w:ind w:left="397" w:hanging="397"/>
    </w:pPr>
    <w:rPr>
      <w:rFonts w:eastAsia="Times New Roman"/>
      <w:color w:val="000000"/>
      <w:lang w:eastAsia="de-DE" w:bidi="en-US"/>
    </w:rPr>
  </w:style>
  <w:style w:type="paragraph" w:styleId="BalloonText">
    <w:name w:val="Balloon Text"/>
    <w:basedOn w:val="Normal"/>
    <w:link w:val="BalloonTextChar"/>
    <w:uiPriority w:val="99"/>
    <w:rsid w:val="00F14517"/>
    <w:rPr>
      <w:rFonts w:cs="Tahoma"/>
      <w:szCs w:val="18"/>
    </w:rPr>
  </w:style>
  <w:style w:type="character" w:customStyle="1" w:styleId="BalloonTextChar">
    <w:name w:val="Balloon Text Char"/>
    <w:link w:val="BalloonText"/>
    <w:uiPriority w:val="99"/>
    <w:rsid w:val="00F14517"/>
    <w:rPr>
      <w:rFonts w:ascii="Palatino Linotype" w:hAnsi="Palatino Linotype" w:cs="Tahoma"/>
      <w:noProof/>
      <w:color w:val="000000"/>
      <w:szCs w:val="18"/>
    </w:rPr>
  </w:style>
  <w:style w:type="character" w:styleId="LineNumber">
    <w:name w:val="line number"/>
    <w:uiPriority w:val="99"/>
    <w:rsid w:val="00E746D5"/>
    <w:rPr>
      <w:rFonts w:ascii="Palatino Linotype" w:hAnsi="Palatino Linotype"/>
      <w:sz w:val="16"/>
    </w:rPr>
  </w:style>
  <w:style w:type="table" w:customStyle="1" w:styleId="MDPI41threelinetable">
    <w:name w:val="MDPI_4.1_three_line_table"/>
    <w:basedOn w:val="TableNormal"/>
    <w:uiPriority w:val="99"/>
    <w:rsid w:val="00F1451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F14517"/>
    <w:rPr>
      <w:color w:val="0000FF"/>
      <w:u w:val="single"/>
    </w:rPr>
  </w:style>
  <w:style w:type="character" w:styleId="UnresolvedMention">
    <w:name w:val="Unresolved Mention"/>
    <w:uiPriority w:val="99"/>
    <w:semiHidden/>
    <w:unhideWhenUsed/>
    <w:rsid w:val="00615E3A"/>
    <w:rPr>
      <w:color w:val="605E5C"/>
      <w:shd w:val="clear" w:color="auto" w:fill="E1DFDD"/>
    </w:rPr>
  </w:style>
  <w:style w:type="table" w:styleId="PlainTable4">
    <w:name w:val="Plain Table 4"/>
    <w:basedOn w:val="TableNormal"/>
    <w:uiPriority w:val="44"/>
    <w:rsid w:val="00DD396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rsid w:val="00F14517"/>
    <w:pPr>
      <w:adjustRightInd w:val="0"/>
      <w:snapToGrid w:val="0"/>
      <w:spacing w:before="240" w:line="228" w:lineRule="auto"/>
      <w:ind w:left="2608"/>
    </w:pPr>
    <w:rPr>
      <w:rFonts w:ascii="Palatino Linotype" w:eastAsia="Times New Roman" w:hAnsi="Palatino Linotype"/>
      <w:snapToGrid w:val="0"/>
      <w:color w:val="000000"/>
      <w:lang w:eastAsia="de-DE" w:bidi="en-US"/>
    </w:rPr>
  </w:style>
  <w:style w:type="paragraph" w:customStyle="1" w:styleId="theoremFAITH">
    <w:name w:val="theorem_FAITH"/>
    <w:qFormat/>
    <w:rsid w:val="00924CD7"/>
    <w:pPr>
      <w:adjustRightInd w:val="0"/>
      <w:snapToGrid w:val="0"/>
      <w:spacing w:line="228" w:lineRule="auto"/>
      <w:ind w:left="2608"/>
    </w:pPr>
    <w:rPr>
      <w:rFonts w:eastAsia="Times New Roman"/>
      <w:i/>
      <w:snapToGrid w:val="0"/>
      <w:color w:val="000000"/>
      <w:lang w:eastAsia="de-DE" w:bidi="en-US"/>
    </w:rPr>
  </w:style>
  <w:style w:type="paragraph" w:customStyle="1" w:styleId="proofFAITH">
    <w:name w:val="proof_FAITH"/>
    <w:qFormat/>
    <w:rsid w:val="00924CD7"/>
    <w:pPr>
      <w:adjustRightInd w:val="0"/>
      <w:snapToGrid w:val="0"/>
      <w:spacing w:line="228" w:lineRule="auto"/>
      <w:ind w:left="2608"/>
    </w:pPr>
    <w:rPr>
      <w:rFonts w:eastAsia="Times New Roman"/>
      <w:snapToGrid w:val="0"/>
      <w:color w:val="000000"/>
      <w:lang w:eastAsia="de-DE" w:bidi="en-US"/>
    </w:rPr>
  </w:style>
  <w:style w:type="paragraph" w:customStyle="1" w:styleId="CitationFAITH">
    <w:name w:val="Citation_FAITH"/>
    <w:qFormat/>
    <w:rsid w:val="00011F03"/>
    <w:pPr>
      <w:adjustRightInd w:val="0"/>
      <w:snapToGrid w:val="0"/>
      <w:spacing w:line="240" w:lineRule="atLeast"/>
      <w:ind w:right="113"/>
    </w:pPr>
    <w:rPr>
      <w:rFonts w:cs="Cordia New"/>
      <w:sz w:val="14"/>
    </w:rPr>
  </w:style>
  <w:style w:type="paragraph" w:customStyle="1" w:styleId="BackMatterFAITH">
    <w:name w:val="BackMatter_FAITH"/>
    <w:qFormat/>
    <w:rsid w:val="00924CD7"/>
    <w:pPr>
      <w:adjustRightInd w:val="0"/>
      <w:snapToGrid w:val="0"/>
      <w:spacing w:after="120" w:line="228" w:lineRule="auto"/>
      <w:ind w:left="2608"/>
    </w:pPr>
    <w:rPr>
      <w:rFonts w:eastAsia="Times New Roman"/>
      <w:snapToGrid w:val="0"/>
      <w:color w:val="000000"/>
      <w:lang w:eastAsia="en-US" w:bidi="en-US"/>
    </w:rPr>
  </w:style>
  <w:style w:type="paragraph" w:customStyle="1" w:styleId="MDPI63Notes">
    <w:name w:val="MDPI_6.3_Notes"/>
    <w:rsid w:val="00F14517"/>
    <w:pPr>
      <w:adjustRightInd w:val="0"/>
      <w:snapToGrid w:val="0"/>
      <w:spacing w:before="240" w:line="228" w:lineRule="auto"/>
    </w:pPr>
    <w:rPr>
      <w:rFonts w:ascii="Palatino Linotype" w:hAnsi="Palatino Linotype"/>
      <w:snapToGrid w:val="0"/>
      <w:color w:val="000000"/>
      <w:sz w:val="18"/>
      <w:lang w:eastAsia="en-US" w:bidi="en-US"/>
    </w:rPr>
  </w:style>
  <w:style w:type="paragraph" w:customStyle="1" w:styleId="MDPI15academiceditor">
    <w:name w:val="MDPI_1.5_academic_editor"/>
    <w:rsid w:val="00A16449"/>
    <w:pPr>
      <w:adjustRightInd w:val="0"/>
      <w:snapToGrid w:val="0"/>
      <w:spacing w:before="120" w:line="240" w:lineRule="atLeast"/>
      <w:ind w:right="113"/>
    </w:pPr>
    <w:rPr>
      <w:rFonts w:ascii="Palatino Linotype" w:eastAsia="Times New Roman" w:hAnsi="Palatino Linotype"/>
      <w:color w:val="000000"/>
      <w:sz w:val="14"/>
      <w:lang w:eastAsia="de-DE" w:bidi="en-US"/>
    </w:rPr>
  </w:style>
  <w:style w:type="paragraph" w:customStyle="1" w:styleId="MDPI19classification">
    <w:name w:val="MDPI_1.9_classification"/>
    <w:rsid w:val="00F14517"/>
    <w:pPr>
      <w:spacing w:before="240" w:line="260" w:lineRule="atLeast"/>
      <w:ind w:left="113"/>
    </w:pPr>
    <w:rPr>
      <w:rFonts w:ascii="Palatino Linotype" w:eastAsia="Times New Roman" w:hAnsi="Palatino Linotype"/>
      <w:color w:val="000000"/>
      <w:lang w:eastAsia="de-DE" w:bidi="en-US"/>
    </w:rPr>
  </w:style>
  <w:style w:type="paragraph" w:customStyle="1" w:styleId="MDPI411onetablecaption">
    <w:name w:val="MDPI_4.1.1_one_table_caption"/>
    <w:rsid w:val="00F14517"/>
    <w:pPr>
      <w:adjustRightInd w:val="0"/>
      <w:snapToGrid w:val="0"/>
      <w:spacing w:before="240" w:after="120" w:line="260" w:lineRule="atLeast"/>
      <w:jc w:val="center"/>
    </w:pPr>
    <w:rPr>
      <w:rFonts w:ascii="Palatino Linotype" w:hAnsi="Palatino Linotype" w:cs="Cordia New"/>
      <w:noProof/>
      <w:color w:val="000000"/>
      <w:sz w:val="18"/>
      <w:lang w:bidi="en-US"/>
    </w:rPr>
  </w:style>
  <w:style w:type="paragraph" w:customStyle="1" w:styleId="MDPI511onefigurecaption">
    <w:name w:val="MDPI_5.1.1_one_figure_caption"/>
    <w:rsid w:val="00F14517"/>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CopyrightFAITH">
    <w:name w:val="Copyright_FAITH"/>
    <w:qFormat/>
    <w:rsid w:val="00011F03"/>
    <w:pPr>
      <w:adjustRightInd w:val="0"/>
      <w:snapToGrid w:val="0"/>
      <w:spacing w:before="60" w:line="240" w:lineRule="atLeast"/>
      <w:ind w:right="113"/>
    </w:pPr>
    <w:rPr>
      <w:rFonts w:eastAsia="Times New Roman"/>
      <w:noProof/>
      <w:snapToGrid w:val="0"/>
      <w:color w:val="000000"/>
      <w:sz w:val="16"/>
      <w:lang w:eastAsia="en-GB"/>
    </w:rPr>
  </w:style>
  <w:style w:type="paragraph" w:customStyle="1" w:styleId="MDPI73CopyrightImage">
    <w:name w:val="MDPI_7.3_CopyrightImage"/>
    <w:rsid w:val="00F14517"/>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rsid w:val="00F14517"/>
    <w:pPr>
      <w:adjustRightInd w:val="0"/>
      <w:snapToGrid w:val="0"/>
      <w:spacing w:before="120" w:after="120"/>
      <w:jc w:val="center"/>
    </w:pPr>
    <w:rPr>
      <w:rFonts w:ascii="Palatino Linotype" w:eastAsia="Times New Roman" w:hAnsi="Palatino Linotype"/>
      <w:snapToGrid w:val="0"/>
      <w:color w:val="000000"/>
      <w:lang w:eastAsia="de-DE" w:bidi="en-US"/>
    </w:rPr>
  </w:style>
  <w:style w:type="paragraph" w:customStyle="1" w:styleId="MDPIfooter">
    <w:name w:val="MDPI_footer"/>
    <w:rsid w:val="00F14517"/>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rsid w:val="00F14517"/>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rsid w:val="00F14517"/>
    <w:pPr>
      <w:adjustRightInd w:val="0"/>
      <w:snapToGrid w:val="0"/>
      <w:spacing w:after="240" w:line="260" w:lineRule="atLeast"/>
    </w:pPr>
    <w:rPr>
      <w:rFonts w:ascii="Palatino Linotype" w:eastAsia="Times New Roman" w:hAnsi="Palatino Linotype"/>
      <w:iCs/>
      <w:color w:val="000000"/>
      <w:sz w:val="16"/>
      <w:lang w:eastAsia="de-DE"/>
    </w:rPr>
  </w:style>
  <w:style w:type="paragraph" w:customStyle="1" w:styleId="MDPIheadercitation">
    <w:name w:val="MDPI_header_citation"/>
    <w:rsid w:val="00F14517"/>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rsid w:val="00F14517"/>
    <w:pPr>
      <w:adjustRightInd w:val="0"/>
      <w:snapToGrid w:val="0"/>
      <w:spacing w:line="260" w:lineRule="atLeast"/>
      <w:jc w:val="right"/>
    </w:pPr>
    <w:rPr>
      <w:rFonts w:ascii="Palatino Linotype" w:eastAsia="Times New Roman" w:hAnsi="Palatino Linotype"/>
      <w:color w:val="000000"/>
      <w:sz w:val="24"/>
      <w:lang w:eastAsia="de-CH"/>
    </w:rPr>
  </w:style>
  <w:style w:type="table" w:customStyle="1" w:styleId="MDPITable">
    <w:name w:val="MDPI_Table"/>
    <w:basedOn w:val="TableNormal"/>
    <w:uiPriority w:val="99"/>
    <w:rsid w:val="00F14517"/>
    <w:rPr>
      <w:rFonts w:ascii="Palatino Linotype" w:hAnsi="Palatino Linotype"/>
      <w:color w:val="000000"/>
      <w:lang w:eastAsia="en-US"/>
    </w:rPr>
    <w:tblPr>
      <w:tblCellMar>
        <w:left w:w="0" w:type="dxa"/>
        <w:right w:w="0" w:type="dxa"/>
      </w:tblCellMar>
    </w:tblPr>
  </w:style>
  <w:style w:type="paragraph" w:customStyle="1" w:styleId="MDPItext">
    <w:name w:val="MDPI_text"/>
    <w:rsid w:val="00F14517"/>
    <w:pPr>
      <w:spacing w:line="260" w:lineRule="atLeast"/>
      <w:ind w:left="425" w:right="425" w:firstLine="284"/>
    </w:pPr>
    <w:rPr>
      <w:rFonts w:ascii="Times New Roman" w:eastAsia="Times New Roman" w:hAnsi="Times New Roman"/>
      <w:noProof/>
      <w:snapToGrid w:val="0"/>
      <w:color w:val="000000"/>
      <w:lang w:eastAsia="de-DE" w:bidi="en-US"/>
    </w:rPr>
  </w:style>
  <w:style w:type="paragraph" w:customStyle="1" w:styleId="MDPItitle">
    <w:name w:val="MDPI_title"/>
    <w:rsid w:val="00F14517"/>
    <w:pPr>
      <w:adjustRightInd w:val="0"/>
      <w:snapToGrid w:val="0"/>
      <w:spacing w:after="240" w:line="260" w:lineRule="atLeast"/>
    </w:pPr>
    <w:rPr>
      <w:rFonts w:ascii="Palatino Linotype" w:eastAsia="Times New Roman" w:hAnsi="Palatino Linotype"/>
      <w:snapToGrid w:val="0"/>
      <w:color w:val="000000"/>
      <w:sz w:val="36"/>
      <w:lang w:eastAsia="de-DE" w:bidi="en-US"/>
    </w:rPr>
  </w:style>
  <w:style w:type="character" w:customStyle="1" w:styleId="apple-converted-space">
    <w:name w:val="apple-converted-space"/>
    <w:rsid w:val="00F14517"/>
  </w:style>
  <w:style w:type="paragraph" w:styleId="Bibliography">
    <w:name w:val="Bibliography"/>
    <w:basedOn w:val="Normal"/>
    <w:next w:val="Normal"/>
    <w:uiPriority w:val="37"/>
    <w:semiHidden/>
    <w:unhideWhenUsed/>
    <w:rsid w:val="00F14517"/>
  </w:style>
  <w:style w:type="paragraph" w:styleId="BodyText">
    <w:name w:val="Body Text"/>
    <w:link w:val="BodyTextChar"/>
    <w:rsid w:val="00F14517"/>
    <w:pPr>
      <w:spacing w:after="120" w:line="340" w:lineRule="atLeast"/>
    </w:pPr>
    <w:rPr>
      <w:rFonts w:ascii="Palatino Linotype" w:hAnsi="Palatino Linotype"/>
      <w:color w:val="000000"/>
      <w:sz w:val="24"/>
      <w:lang w:eastAsia="de-DE"/>
    </w:rPr>
  </w:style>
  <w:style w:type="character" w:customStyle="1" w:styleId="BodyTextChar">
    <w:name w:val="Body Text Char"/>
    <w:link w:val="BodyText"/>
    <w:rsid w:val="00F14517"/>
    <w:rPr>
      <w:rFonts w:ascii="Palatino Linotype" w:hAnsi="Palatino Linotype"/>
      <w:color w:val="000000"/>
      <w:sz w:val="24"/>
      <w:lang w:val="id" w:eastAsia="de-DE"/>
    </w:rPr>
  </w:style>
  <w:style w:type="character" w:styleId="CommentReference">
    <w:name w:val="annotation reference"/>
    <w:rsid w:val="00F14517"/>
    <w:rPr>
      <w:sz w:val="21"/>
      <w:szCs w:val="21"/>
    </w:rPr>
  </w:style>
  <w:style w:type="paragraph" w:styleId="CommentText">
    <w:name w:val="annotation text"/>
    <w:basedOn w:val="Normal"/>
    <w:link w:val="CommentTextChar"/>
    <w:rsid w:val="00F14517"/>
  </w:style>
  <w:style w:type="character" w:customStyle="1" w:styleId="CommentTextChar">
    <w:name w:val="Comment Text Char"/>
    <w:link w:val="CommentText"/>
    <w:rsid w:val="00F14517"/>
    <w:rPr>
      <w:rFonts w:ascii="Palatino Linotype" w:hAnsi="Palatino Linotype"/>
      <w:noProof/>
      <w:color w:val="000000"/>
    </w:rPr>
  </w:style>
  <w:style w:type="paragraph" w:styleId="CommentSubject">
    <w:name w:val="annotation subject"/>
    <w:basedOn w:val="CommentText"/>
    <w:next w:val="CommentText"/>
    <w:link w:val="CommentSubjectChar"/>
    <w:rsid w:val="00F14517"/>
    <w:rPr>
      <w:b w:val="0"/>
    </w:rPr>
  </w:style>
  <w:style w:type="character" w:customStyle="1" w:styleId="CommentSubjectChar">
    <w:name w:val="Comment Subject Char"/>
    <w:link w:val="CommentSubject"/>
    <w:rsid w:val="00F14517"/>
    <w:rPr>
      <w:rFonts w:ascii="Palatino Linotype" w:hAnsi="Palatino Linotype"/>
      <w:b/>
      <w:bCs/>
      <w:noProof/>
      <w:color w:val="000000"/>
    </w:rPr>
  </w:style>
  <w:style w:type="character" w:styleId="EndnoteReference">
    <w:name w:val="endnote reference"/>
    <w:rsid w:val="00F14517"/>
    <w:rPr>
      <w:vertAlign w:val="superscript"/>
    </w:rPr>
  </w:style>
  <w:style w:type="paragraph" w:styleId="EndnoteText">
    <w:name w:val="endnote text"/>
    <w:basedOn w:val="Normal"/>
    <w:link w:val="EndnoteTextChar"/>
    <w:semiHidden/>
    <w:unhideWhenUsed/>
    <w:rsid w:val="00F14517"/>
  </w:style>
  <w:style w:type="character" w:customStyle="1" w:styleId="EndnoteTextChar">
    <w:name w:val="Endnote Text Char"/>
    <w:link w:val="EndnoteText"/>
    <w:semiHidden/>
    <w:rsid w:val="00F14517"/>
    <w:rPr>
      <w:rFonts w:ascii="Palatino Linotype" w:hAnsi="Palatino Linotype"/>
      <w:noProof/>
      <w:color w:val="000000"/>
    </w:rPr>
  </w:style>
  <w:style w:type="character" w:styleId="FollowedHyperlink">
    <w:name w:val="FollowedHyperlink"/>
    <w:rsid w:val="00F14517"/>
    <w:rPr>
      <w:color w:val="954F72"/>
      <w:u w:val="single"/>
    </w:rPr>
  </w:style>
  <w:style w:type="paragraph" w:styleId="FootnoteText">
    <w:name w:val="footnote text"/>
    <w:basedOn w:val="Normal"/>
    <w:link w:val="FootnoteTextChar"/>
    <w:semiHidden/>
    <w:unhideWhenUsed/>
    <w:rsid w:val="00F14517"/>
  </w:style>
  <w:style w:type="character" w:customStyle="1" w:styleId="FootnoteTextChar">
    <w:name w:val="Footnote Text Char"/>
    <w:link w:val="FootnoteText"/>
    <w:semiHidden/>
    <w:rsid w:val="00F14517"/>
    <w:rPr>
      <w:rFonts w:ascii="Palatino Linotype" w:hAnsi="Palatino Linotype"/>
      <w:noProof/>
      <w:color w:val="000000"/>
    </w:rPr>
  </w:style>
  <w:style w:type="paragraph" w:styleId="NormalWeb">
    <w:name w:val="Normal (Web)"/>
    <w:basedOn w:val="Normal"/>
    <w:uiPriority w:val="99"/>
    <w:rsid w:val="00F14517"/>
    <w:rPr>
      <w:szCs w:val="24"/>
    </w:rPr>
  </w:style>
  <w:style w:type="paragraph" w:customStyle="1" w:styleId="MsoFootnoteText0">
    <w:name w:val="MsoFootnoteText"/>
    <w:basedOn w:val="NormalWeb"/>
    <w:rsid w:val="00F14517"/>
    <w:rPr>
      <w:rFonts w:ascii="Times New Roman" w:hAnsi="Times New Roman"/>
    </w:rPr>
  </w:style>
  <w:style w:type="character" w:styleId="PageNumber">
    <w:name w:val="page number"/>
    <w:rsid w:val="00F14517"/>
  </w:style>
  <w:style w:type="character" w:styleId="PlaceholderText">
    <w:name w:val="Placeholder Text"/>
    <w:uiPriority w:val="99"/>
    <w:semiHidden/>
    <w:rsid w:val="00F14517"/>
    <w:rPr>
      <w:color w:val="808080"/>
    </w:rPr>
  </w:style>
  <w:style w:type="paragraph" w:customStyle="1" w:styleId="MDPI71FootNotes">
    <w:name w:val="MDPI_7.1_FootNotes"/>
    <w:rsid w:val="00C01F2F"/>
    <w:pPr>
      <w:tabs>
        <w:tab w:val="num" w:pos="720"/>
      </w:tabs>
      <w:adjustRightInd w:val="0"/>
      <w:snapToGrid w:val="0"/>
      <w:spacing w:line="228" w:lineRule="auto"/>
      <w:ind w:left="720" w:hanging="720"/>
    </w:pPr>
    <w:rPr>
      <w:rFonts w:ascii="Palatino Linotype" w:eastAsiaTheme="minorEastAsia" w:hAnsi="Palatino Linotype"/>
      <w:noProof/>
      <w:color w:val="000000"/>
      <w:sz w:val="18"/>
    </w:rPr>
  </w:style>
  <w:style w:type="paragraph" w:customStyle="1" w:styleId="punctuatetextFAITH">
    <w:name w:val="punctuate_text_FAITH"/>
    <w:basedOn w:val="maintextFAITH"/>
    <w:link w:val="punctuatetextFAITHChar"/>
    <w:qFormat/>
    <w:rsid w:val="004A6C67"/>
    <w:pPr>
      <w:ind w:firstLine="0"/>
    </w:pPr>
  </w:style>
  <w:style w:type="paragraph" w:customStyle="1" w:styleId="AlgorithmheadFAITH">
    <w:name w:val="Algorithm_head_FAITH"/>
    <w:basedOn w:val="maintextFAITH"/>
    <w:link w:val="AlgorithmheadFAITHChar"/>
    <w:qFormat/>
    <w:rsid w:val="00562F38"/>
    <w:pPr>
      <w:ind w:left="0" w:firstLine="0"/>
    </w:pPr>
  </w:style>
  <w:style w:type="character" w:customStyle="1" w:styleId="maintextFAITHChar">
    <w:name w:val="maintext_FAITH Char"/>
    <w:basedOn w:val="DefaultParagraphFont"/>
    <w:link w:val="maintextFAITH"/>
    <w:rsid w:val="004A6C67"/>
    <w:rPr>
      <w:rFonts w:ascii="Garamond" w:eastAsia="Times New Roman" w:hAnsi="Garamond"/>
      <w:snapToGrid w:val="0"/>
      <w:color w:val="000000"/>
      <w:sz w:val="22"/>
      <w:szCs w:val="22"/>
      <w:lang w:val="id" w:eastAsia="de-DE" w:bidi="en-US"/>
    </w:rPr>
  </w:style>
  <w:style w:type="character" w:customStyle="1" w:styleId="punctuatetextFAITHChar">
    <w:name w:val="punctuate_text_FAITH Char"/>
    <w:basedOn w:val="maintextFAITHChar"/>
    <w:link w:val="punctuatetextFAITH"/>
    <w:rsid w:val="004A6C67"/>
    <w:rPr>
      <w:rFonts w:ascii="Garamond" w:eastAsia="Times New Roman" w:hAnsi="Garamond"/>
      <w:snapToGrid w:val="0"/>
      <w:color w:val="000000"/>
      <w:sz w:val="22"/>
      <w:szCs w:val="22"/>
      <w:lang w:val="id" w:eastAsia="de-DE" w:bidi="en-US"/>
    </w:rPr>
  </w:style>
  <w:style w:type="paragraph" w:customStyle="1" w:styleId="algorithmstepFAITH">
    <w:name w:val="algorithm_step_FAITH"/>
    <w:basedOn w:val="maintextFAITH"/>
    <w:link w:val="algorithmstepFAITHChar"/>
    <w:qFormat/>
    <w:rsid w:val="00A9127E"/>
    <w:pPr>
      <w:tabs>
        <w:tab w:val="num" w:pos="720"/>
      </w:tabs>
      <w:ind w:left="720" w:hanging="720"/>
    </w:pPr>
  </w:style>
  <w:style w:type="character" w:customStyle="1" w:styleId="AlgorithmheadFAITHChar">
    <w:name w:val="Algorithm_head_FAITH Char"/>
    <w:basedOn w:val="maintextFAITHChar"/>
    <w:link w:val="AlgorithmheadFAITH"/>
    <w:rsid w:val="00562F38"/>
    <w:rPr>
      <w:rFonts w:ascii="Garamond" w:eastAsia="Times New Roman" w:hAnsi="Garamond"/>
      <w:b/>
      <w:bCs/>
      <w:snapToGrid w:val="0"/>
      <w:color w:val="000000"/>
      <w:sz w:val="22"/>
      <w:szCs w:val="22"/>
      <w:lang w:val="id" w:eastAsia="de-DE" w:bidi="en-US"/>
    </w:rPr>
  </w:style>
  <w:style w:type="character" w:customStyle="1" w:styleId="algorithmstepFAITHChar">
    <w:name w:val="algorithm_step_FAITH Char"/>
    <w:basedOn w:val="maintextFAITHChar"/>
    <w:link w:val="algorithmstepFAITH"/>
    <w:rsid w:val="00A9127E"/>
    <w:rPr>
      <w:rFonts w:ascii="Garamond" w:eastAsia="Times New Roman" w:hAnsi="Garamond"/>
      <w:snapToGrid w:val="0"/>
      <w:color w:val="000000"/>
      <w:sz w:val="22"/>
      <w:szCs w:val="22"/>
      <w:lang w:val="id" w:eastAsia="de-DE" w:bidi="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rPr>
      <w:rFonts w:ascii="Palatino Linotype" w:eastAsia="Palatino Linotype" w:hAnsi="Palatino Linotype" w:cs="Palatino Linotype"/>
      <w:color w:val="000000"/>
    </w:rPr>
    <w:tblPr>
      <w:tblStyleRowBandSize w:val="1"/>
      <w:tblStyleColBandSize w:val="1"/>
    </w:tblPr>
  </w:style>
  <w:style w:type="table" w:customStyle="1" w:styleId="a1">
    <w:basedOn w:val="TableNormal"/>
    <w:rPr>
      <w:rFonts w:ascii="Palatino Linotype" w:eastAsia="Palatino Linotype" w:hAnsi="Palatino Linotype" w:cs="Palatino Linotype"/>
      <w:color w:val="000000"/>
    </w:rPr>
    <w:tblPr>
      <w:tblStyleRowBandSize w:val="1"/>
      <w:tblStyleColBandSize w:val="1"/>
    </w:tblPr>
  </w:style>
  <w:style w:type="table" w:customStyle="1" w:styleId="a2">
    <w:basedOn w:val="TableNormal"/>
    <w:rPr>
      <w:rFonts w:ascii="Palatino Linotype" w:eastAsia="Palatino Linotype" w:hAnsi="Palatino Linotype" w:cs="Palatino Linotype"/>
      <w:color w:val="000000"/>
    </w:rPr>
    <w:tblPr>
      <w:tblStyleRowBandSize w:val="1"/>
      <w:tblStyleColBandSize w:val="1"/>
    </w:tblPr>
  </w:style>
  <w:style w:type="table" w:customStyle="1" w:styleId="a3">
    <w:basedOn w:val="TableNormal"/>
    <w:rPr>
      <w:rFonts w:ascii="Palatino Linotype" w:eastAsia="Palatino Linotype" w:hAnsi="Palatino Linotype" w:cs="Palatino Linotype"/>
      <w:color w:val="000000"/>
    </w:rPr>
    <w:tblPr>
      <w:tblStyleRowBandSize w:val="1"/>
      <w:tblStyleColBandSize w:val="1"/>
    </w:tblPr>
  </w:style>
  <w:style w:type="table" w:customStyle="1" w:styleId="a4">
    <w:basedOn w:val="TableNormal"/>
    <w:rPr>
      <w:rFonts w:ascii="Palatino Linotype" w:eastAsia="Palatino Linotype" w:hAnsi="Palatino Linotype" w:cs="Palatino Linotype"/>
      <w:color w:val="000000"/>
    </w:r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bps.go.id/id/publication/2024/09/26/a88a6f32c79e2d992331d9eb/statistik-indonesia-dalam-infografis-2024.html" TargetMode="External"/><Relationship Id="rId18" Type="http://schemas.openxmlformats.org/officeDocument/2006/relationships/hyperlink" Target="https://doi.org/10.1108/EBR-10-2013-0128" TargetMode="External"/><Relationship Id="rId26" Type="http://schemas.openxmlformats.org/officeDocument/2006/relationships/hyperlink" Target="https://doi.org/10.24912/ja.v29i1.1668" TargetMode="External"/><Relationship Id="rId39" Type="http://schemas.openxmlformats.org/officeDocument/2006/relationships/header" Target="header3.xml"/><Relationship Id="rId21" Type="http://schemas.openxmlformats.org/officeDocument/2006/relationships/hyperlink" Target="https://jurnalmahasiswa.stiesia.ac.id/index.php/jira/article/view/3847" TargetMode="External"/><Relationship Id="rId34" Type="http://schemas.openxmlformats.org/officeDocument/2006/relationships/hyperlink" Target="https://klikpajak.id/wp-content/uploads/2022/06/UU-No.-36-Tahun-2008.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21009/Wahana.18.027" TargetMode="External"/><Relationship Id="rId20" Type="http://schemas.openxmlformats.org/officeDocument/2006/relationships/hyperlink" Target="https://doi.org/10.52062/jaked.v17i1.2329" TargetMode="External"/><Relationship Id="rId29" Type="http://schemas.openxmlformats.org/officeDocument/2006/relationships/hyperlink" Target="https://doi.org/10.31851/jmediasi.v5i1.9369"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heliyon.2024.e24677" TargetMode="External"/><Relationship Id="rId24" Type="http://schemas.openxmlformats.org/officeDocument/2006/relationships/hyperlink" Target="https://doi.org/10.46806/ja.v11i1.857" TargetMode="External"/><Relationship Id="rId32" Type="http://schemas.openxmlformats.org/officeDocument/2006/relationships/hyperlink" Target="https://doi.org/10.34005/akrual.v7i1.5090" TargetMode="External"/><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55606/sscj-amik.v1i1.1120" TargetMode="External"/><Relationship Id="rId23" Type="http://schemas.openxmlformats.org/officeDocument/2006/relationships/hyperlink" Target="https://doi.org/10.1016/0304-405X(76)90026-X" TargetMode="External"/><Relationship Id="rId28" Type="http://schemas.openxmlformats.org/officeDocument/2006/relationships/hyperlink" Target="https://doi.org/10.51510/jakp.v8i2.2366" TargetMode="External"/><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doi.org/10.52062/jaked.v17i1.2329" TargetMode="External"/><Relationship Id="rId31" Type="http://schemas.openxmlformats.org/officeDocument/2006/relationships/hyperlink" Target="https://doi.org/10.51903/jupea.v5i3.421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roceedings.worldconference.id/index.php/prd/article/view/470" TargetMode="External"/><Relationship Id="rId22" Type="http://schemas.openxmlformats.org/officeDocument/2006/relationships/hyperlink" Target="https://doi.org/10.54712/aliansi.v6i1.195" TargetMode="External"/><Relationship Id="rId27" Type="http://schemas.openxmlformats.org/officeDocument/2006/relationships/hyperlink" Target="https://j-innovative.org/index.php/Innovative/article/view/4827" TargetMode="External"/><Relationship Id="rId30" Type="http://schemas.openxmlformats.org/officeDocument/2006/relationships/hyperlink" Target="https://doi.org/10.70142/studiaekonomika.v20i1.95" TargetMode="External"/><Relationship Id="rId35" Type="http://schemas.openxmlformats.org/officeDocument/2006/relationships/hyperlink" Target="https://klikpajak.id/wp-content/uploads/2023/02/UU-Nomor-2-Tahun-2020.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70142/studiaekonomika.v16i2.108" TargetMode="External"/><Relationship Id="rId17" Type="http://schemas.openxmlformats.org/officeDocument/2006/relationships/hyperlink" Target="https://doi.org/10.1108/EBR-11-2018-0203" TargetMode="External"/><Relationship Id="rId25" Type="http://schemas.openxmlformats.org/officeDocument/2006/relationships/hyperlink" Target="https://media.kemenkeu.go.id/getmedia/c0bf8b54-6b67-4a93-b345-acc870f63a0d/APBN-KITA-SEP-2024.pdf" TargetMode="External"/><Relationship Id="rId33" Type="http://schemas.openxmlformats.org/officeDocument/2006/relationships/hyperlink" Target="https://www.tempo.co/ekonomi/jenis-jenis-sumber-penerimaan-negara-indonesia-mana-yang-terbesar--63709"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s://ijemr.asia/index.php/ijemr" TargetMode="External"/><Relationship Id="rId1" Type="http://schemas.openxmlformats.org/officeDocument/2006/relationships/hyperlink" Target="https://doi.org/10.55606/ijemr.v4i3.684"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CSEBWkteZHAca6zuAq7iQlR78A==">CgMxLjAyDmguNHhrNWN3ZXl6bWdxOAByITFyUUFxSFc0aEFOQ01YX3RvY1h4cVV6c0lpZDRaS3l1RA==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6000</Words>
  <Characters>34202</Characters>
  <Application>Microsoft Office Word</Application>
  <DocSecurity>0</DocSecurity>
  <Lines>285</Lines>
  <Paragraphs>80</Paragraphs>
  <ScaleCrop>false</ScaleCrop>
  <Company/>
  <LinksUpToDate>false</LinksUpToDate>
  <CharactersWithSpaces>40122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Moses De Rosal</dc:creator>
  <cp:lastModifiedBy>Reviewer</cp:lastModifiedBy>
  <cp:revision>2</cp:revision>
  <dcterms:created xsi:type="dcterms:W3CDTF">2026-01-08T05:50:00Z</dcterms:created>
  <dcterms:modified xsi:type="dcterms:W3CDTF">2026-01-08T05:50:00Z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4dc507b6-4f00-3251-af4f-e9b5a06f290e</vt:lpwstr>
  </property>
  <property fmtid="{D5CDD505-2E9C-101B-9397-08002B2CF9AE}" pid="24" name="Mendeley Citation Style_1">
    <vt:lpwstr>http://www.zotero.org/styles/ieee</vt:lpwstr>
  </property>
</Properties>
</file>