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C7" w:rsidRPr="00BE08E3" w:rsidRDefault="00CA4AC7" w:rsidP="007D471B">
      <w:pPr>
        <w:adjustRightInd w:val="0"/>
        <w:snapToGrid w:val="0"/>
        <w:spacing w:line="240" w:lineRule="auto"/>
        <w:jc w:val="left"/>
        <w:rPr>
          <w:rFonts w:eastAsia="Times New Roman"/>
          <w:b w:val="0"/>
          <w:i/>
          <w:noProof w:val="0"/>
          <w:snapToGrid w:val="0"/>
          <w:sz w:val="20"/>
          <w:szCs w:val="22"/>
          <w:lang w:val="id" w:eastAsia="de-DE" w:bidi="en-US"/>
        </w:rPr>
      </w:pPr>
      <w:r w:rsidRPr="00BE08E3">
        <w:rPr>
          <w:rFonts w:eastAsia="Times New Roman"/>
          <w:b w:val="0"/>
          <w:i/>
          <w:noProof w:val="0"/>
          <w:snapToGrid w:val="0"/>
          <w:sz w:val="20"/>
          <w:szCs w:val="22"/>
          <w:lang w:val="id" w:eastAsia="de-DE" w:bidi="en-US"/>
        </w:rPr>
        <w:t>Research Article</w:t>
      </w:r>
    </w:p>
    <w:p w:rsidR="00CA4AC7" w:rsidRDefault="00CA4AC7" w:rsidP="007D471B">
      <w:pPr>
        <w:spacing w:line="240" w:lineRule="auto"/>
        <w:rPr>
          <w:rFonts w:eastAsia="Times New Roman"/>
          <w:noProof w:val="0"/>
          <w:snapToGrid w:val="0"/>
          <w:sz w:val="40"/>
          <w:lang w:val="id" w:eastAsia="de-DE" w:bidi="en-US"/>
        </w:rPr>
      </w:pPr>
      <w:r w:rsidRPr="00CA4AC7">
        <w:rPr>
          <w:rFonts w:eastAsia="Times New Roman"/>
          <w:noProof w:val="0"/>
          <w:snapToGrid w:val="0"/>
          <w:sz w:val="40"/>
          <w:lang w:val="id" w:eastAsia="de-DE" w:bidi="en-US"/>
        </w:rPr>
        <w:t>The Influence Independent Commissioner, Audit Committee, Sustainability Reporting And Political ConnectionsOn Tax Avoidance</w:t>
      </w:r>
    </w:p>
    <w:p w:rsidR="00CA4AC7" w:rsidRDefault="00CA4AC7" w:rsidP="007D471B">
      <w:pPr>
        <w:spacing w:line="240" w:lineRule="auto"/>
        <w:rPr>
          <w:rFonts w:eastAsia="Times New Roman"/>
          <w:noProof w:val="0"/>
          <w:snapToGrid w:val="0"/>
          <w:sz w:val="40"/>
          <w:lang w:val="id" w:eastAsia="de-DE" w:bidi="en-US"/>
        </w:rPr>
      </w:pPr>
      <w:r w:rsidRPr="00CA4AC7">
        <w:rPr>
          <w:rFonts w:eastAsia="Times New Roman"/>
          <w:noProof w:val="0"/>
          <w:snapToGrid w:val="0"/>
          <w:sz w:val="40"/>
          <w:lang w:val="id" w:eastAsia="de-DE" w:bidi="en-US"/>
        </w:rPr>
        <w:t>(Case Study of Properties &amp; Real Estate Sector Companies On 2021-2023 )</w:t>
      </w:r>
    </w:p>
    <w:p w:rsidR="00CA4AC7" w:rsidRPr="00CA4AC7" w:rsidRDefault="00CA4AC7" w:rsidP="007D471B">
      <w:pPr>
        <w:spacing w:line="240" w:lineRule="auto"/>
        <w:rPr>
          <w:rFonts w:eastAsia="Times New Roman"/>
          <w:noProof w:val="0"/>
          <w:szCs w:val="22"/>
          <w:vertAlign w:val="superscript"/>
          <w:lang w:val="id" w:eastAsia="de-DE" w:bidi="en-US"/>
        </w:rPr>
      </w:pPr>
      <w:r w:rsidRPr="00CA4AC7">
        <w:rPr>
          <w:rFonts w:eastAsia="Times New Roman"/>
          <w:noProof w:val="0"/>
          <w:szCs w:val="22"/>
          <w:lang w:val="id" w:eastAsia="de-DE" w:bidi="en-US"/>
        </w:rPr>
        <w:t xml:space="preserve">Tuti Indarwati </w:t>
      </w:r>
      <w:r>
        <w:rPr>
          <w:rFonts w:eastAsia="Times New Roman"/>
          <w:noProof w:val="0"/>
          <w:szCs w:val="22"/>
          <w:vertAlign w:val="superscript"/>
          <w:lang w:val="id" w:eastAsia="de-DE" w:bidi="en-US"/>
        </w:rPr>
        <w:t>1*</w:t>
      </w:r>
      <w:r>
        <w:rPr>
          <w:rFonts w:eastAsia="Times New Roman"/>
          <w:noProof w:val="0"/>
          <w:szCs w:val="22"/>
          <w:lang w:val="id" w:eastAsia="de-DE" w:bidi="en-US"/>
        </w:rPr>
        <w:t xml:space="preserve">, </w:t>
      </w:r>
      <w:r w:rsidRPr="00CA4AC7">
        <w:rPr>
          <w:rFonts w:eastAsia="Times New Roman"/>
          <w:noProof w:val="0"/>
          <w:szCs w:val="22"/>
          <w:lang w:val="id" w:eastAsia="de-DE" w:bidi="en-US"/>
        </w:rPr>
        <w:t xml:space="preserve">Devi Astriani </w:t>
      </w:r>
      <w:r>
        <w:rPr>
          <w:rFonts w:eastAsia="Times New Roman"/>
          <w:noProof w:val="0"/>
          <w:szCs w:val="22"/>
          <w:vertAlign w:val="superscript"/>
          <w:lang w:val="id" w:eastAsia="de-DE" w:bidi="en-US"/>
        </w:rPr>
        <w:t>2</w:t>
      </w:r>
      <w:r>
        <w:rPr>
          <w:rFonts w:eastAsia="Times New Roman"/>
          <w:noProof w:val="0"/>
          <w:szCs w:val="22"/>
          <w:lang w:val="id" w:eastAsia="de-DE" w:bidi="en-US"/>
        </w:rPr>
        <w:t xml:space="preserve">, </w:t>
      </w:r>
      <w:r w:rsidRPr="00CA4AC7">
        <w:rPr>
          <w:rFonts w:eastAsia="Times New Roman"/>
          <w:noProof w:val="0"/>
          <w:szCs w:val="22"/>
          <w:lang w:val="id" w:eastAsia="de-DE" w:bidi="en-US"/>
        </w:rPr>
        <w:t>Septiana Rahayu</w:t>
      </w:r>
      <w:r>
        <w:rPr>
          <w:rFonts w:eastAsia="Times New Roman"/>
          <w:noProof w:val="0"/>
          <w:szCs w:val="22"/>
          <w:lang w:val="id" w:eastAsia="de-DE" w:bidi="en-US"/>
        </w:rPr>
        <w:t xml:space="preserve"> </w:t>
      </w:r>
      <w:r>
        <w:rPr>
          <w:rFonts w:eastAsia="Times New Roman"/>
          <w:noProof w:val="0"/>
          <w:szCs w:val="22"/>
          <w:vertAlign w:val="superscript"/>
          <w:lang w:val="id" w:eastAsia="de-DE" w:bidi="en-US"/>
        </w:rPr>
        <w:t>3</w:t>
      </w:r>
    </w:p>
    <w:tbl>
      <w:tblPr>
        <w:tblpPr w:leftFromText="198" w:rightFromText="198" w:vertAnchor="page" w:horzAnchor="margin" w:tblpY="11276"/>
        <w:tblW w:w="24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CA4AC7" w:rsidRPr="00BE08E3" w:rsidTr="00CA4AC7">
        <w:tc>
          <w:tcPr>
            <w:tcW w:w="2410" w:type="dxa"/>
            <w:shd w:val="clear" w:color="auto" w:fill="auto"/>
          </w:tcPr>
          <w:p w:rsidR="00CA4AC7" w:rsidRPr="00BE08E3" w:rsidRDefault="00A25294" w:rsidP="007D471B">
            <w:pPr>
              <w:adjustRightInd w:val="0"/>
              <w:snapToGrid w:val="0"/>
              <w:spacing w:line="360" w:lineRule="auto"/>
              <w:ind w:right="113"/>
              <w:jc w:val="left"/>
              <w:rPr>
                <w:rFonts w:eastAsia="Times New Roman"/>
                <w:noProof w:val="0"/>
                <w:sz w:val="16"/>
                <w:szCs w:val="16"/>
                <w:lang w:val="id" w:eastAsia="de-DE" w:bidi="en-US"/>
              </w:rPr>
            </w:pPr>
            <w:bookmarkStart w:id="0" w:name="_Hlk166243576"/>
            <w:r>
              <w:rPr>
                <w:rFonts w:eastAsia="Times New Roman"/>
                <w:noProof w:val="0"/>
                <w:sz w:val="16"/>
                <w:szCs w:val="16"/>
                <w:lang w:val="id" w:eastAsia="de-DE" w:bidi="en-US"/>
              </w:rPr>
              <w:t>Received: M</w:t>
            </w:r>
            <w:r w:rsidR="00CA4AC7" w:rsidRPr="00BE08E3">
              <w:rPr>
                <w:rFonts w:eastAsia="Times New Roman"/>
                <w:noProof w:val="0"/>
                <w:sz w:val="16"/>
                <w:szCs w:val="16"/>
                <w:lang w:val="id" w:eastAsia="de-DE" w:bidi="en-US"/>
              </w:rPr>
              <w:t>arch, 22</w:t>
            </w:r>
            <w:r w:rsidR="00CA4AC7" w:rsidRPr="00BE08E3">
              <w:rPr>
                <w:rFonts w:eastAsia="Times New Roman"/>
                <w:noProof w:val="0"/>
                <w:sz w:val="16"/>
                <w:szCs w:val="16"/>
                <w:vertAlign w:val="superscript"/>
                <w:lang w:val="id" w:eastAsia="de-DE" w:bidi="en-US"/>
              </w:rPr>
              <w:t>th</w:t>
            </w:r>
            <w:r w:rsidR="00CA4AC7" w:rsidRPr="00BE08E3">
              <w:rPr>
                <w:rFonts w:eastAsia="Times New Roman"/>
                <w:noProof w:val="0"/>
                <w:sz w:val="16"/>
                <w:szCs w:val="16"/>
                <w:lang w:val="id" w:eastAsia="de-DE" w:bidi="en-US"/>
              </w:rPr>
              <w:t xml:space="preserve"> 2025</w:t>
            </w:r>
          </w:p>
          <w:p w:rsidR="00CA4AC7" w:rsidRPr="00BE08E3" w:rsidRDefault="00CA4AC7" w:rsidP="007D471B">
            <w:pPr>
              <w:adjustRightInd w:val="0"/>
              <w:snapToGrid w:val="0"/>
              <w:spacing w:line="360" w:lineRule="auto"/>
              <w:ind w:right="113"/>
              <w:jc w:val="left"/>
              <w:rPr>
                <w:rFonts w:eastAsia="Times New Roman"/>
                <w:noProof w:val="0"/>
                <w:sz w:val="16"/>
                <w:szCs w:val="16"/>
                <w:lang w:val="id" w:eastAsia="de-DE" w:bidi="en-US"/>
              </w:rPr>
            </w:pPr>
            <w:r w:rsidRPr="00BE08E3">
              <w:rPr>
                <w:rFonts w:eastAsia="Times New Roman"/>
                <w:noProof w:val="0"/>
                <w:sz w:val="16"/>
                <w:szCs w:val="16"/>
                <w:lang w:val="id" w:eastAsia="de-DE" w:bidi="en-US"/>
              </w:rPr>
              <w:t>Revised: April, 06</w:t>
            </w:r>
            <w:r w:rsidRPr="00BE08E3">
              <w:rPr>
                <w:rFonts w:eastAsia="Times New Roman"/>
                <w:noProof w:val="0"/>
                <w:sz w:val="16"/>
                <w:szCs w:val="16"/>
                <w:vertAlign w:val="superscript"/>
                <w:lang w:val="id" w:eastAsia="de-DE" w:bidi="en-US"/>
              </w:rPr>
              <w:t>th</w:t>
            </w:r>
            <w:r w:rsidRPr="00BE08E3">
              <w:rPr>
                <w:rFonts w:eastAsia="Times New Roman"/>
                <w:noProof w:val="0"/>
                <w:sz w:val="16"/>
                <w:szCs w:val="16"/>
                <w:lang w:val="id" w:eastAsia="de-DE" w:bidi="en-US"/>
              </w:rPr>
              <w:t xml:space="preserve"> 2025</w:t>
            </w:r>
          </w:p>
          <w:p w:rsidR="00CA4AC7" w:rsidRPr="00BE08E3" w:rsidRDefault="00CA4AC7" w:rsidP="007D471B">
            <w:pPr>
              <w:adjustRightInd w:val="0"/>
              <w:snapToGrid w:val="0"/>
              <w:spacing w:line="360" w:lineRule="auto"/>
              <w:ind w:right="113"/>
              <w:jc w:val="left"/>
              <w:rPr>
                <w:rFonts w:eastAsia="Times New Roman"/>
                <w:noProof w:val="0"/>
                <w:sz w:val="16"/>
                <w:szCs w:val="16"/>
                <w:lang w:val="id" w:eastAsia="de-DE" w:bidi="en-US"/>
              </w:rPr>
            </w:pPr>
            <w:r w:rsidRPr="00BE08E3">
              <w:rPr>
                <w:rFonts w:eastAsia="Times New Roman"/>
                <w:noProof w:val="0"/>
                <w:sz w:val="16"/>
                <w:szCs w:val="16"/>
                <w:lang w:val="id" w:eastAsia="de-DE" w:bidi="en-US"/>
              </w:rPr>
              <w:t>Accepted: April, 20</w:t>
            </w:r>
            <w:r w:rsidRPr="00BE08E3">
              <w:rPr>
                <w:rFonts w:eastAsia="Times New Roman"/>
                <w:noProof w:val="0"/>
                <w:sz w:val="16"/>
                <w:szCs w:val="16"/>
                <w:vertAlign w:val="superscript"/>
                <w:lang w:val="id" w:eastAsia="de-DE" w:bidi="en-US"/>
              </w:rPr>
              <w:t>th</w:t>
            </w:r>
            <w:r w:rsidRPr="00BE08E3">
              <w:rPr>
                <w:rFonts w:eastAsia="Times New Roman"/>
                <w:noProof w:val="0"/>
                <w:sz w:val="16"/>
                <w:szCs w:val="16"/>
                <w:lang w:val="id" w:eastAsia="de-DE" w:bidi="en-US"/>
              </w:rPr>
              <w:t xml:space="preserve"> 2025</w:t>
            </w:r>
          </w:p>
          <w:p w:rsidR="00CA4AC7" w:rsidRPr="00BE08E3" w:rsidRDefault="00CA4AC7" w:rsidP="007D471B">
            <w:pPr>
              <w:adjustRightInd w:val="0"/>
              <w:snapToGrid w:val="0"/>
              <w:spacing w:line="360" w:lineRule="auto"/>
              <w:ind w:right="113"/>
              <w:jc w:val="left"/>
              <w:rPr>
                <w:rFonts w:eastAsia="Times New Roman"/>
                <w:noProof w:val="0"/>
                <w:sz w:val="16"/>
                <w:szCs w:val="16"/>
                <w:lang w:val="id" w:eastAsia="de-DE" w:bidi="en-US"/>
              </w:rPr>
            </w:pPr>
            <w:r w:rsidRPr="00BE08E3">
              <w:rPr>
                <w:rFonts w:eastAsia="Times New Roman"/>
                <w:noProof w:val="0"/>
                <w:sz w:val="16"/>
                <w:szCs w:val="16"/>
                <w:lang w:val="id" w:eastAsia="de-DE" w:bidi="en-US"/>
              </w:rPr>
              <w:t xml:space="preserve">Published: April, </w:t>
            </w:r>
            <w:r w:rsidR="00402BE4">
              <w:rPr>
                <w:rFonts w:eastAsia="Times New Roman"/>
                <w:noProof w:val="0"/>
                <w:sz w:val="16"/>
                <w:szCs w:val="16"/>
                <w:lang w:val="id" w:eastAsia="de-DE" w:bidi="en-US"/>
              </w:rPr>
              <w:t>25</w:t>
            </w:r>
            <w:r w:rsidRPr="00BE08E3">
              <w:rPr>
                <w:rFonts w:eastAsia="Times New Roman"/>
                <w:noProof w:val="0"/>
                <w:sz w:val="16"/>
                <w:szCs w:val="16"/>
                <w:vertAlign w:val="superscript"/>
                <w:lang w:val="id" w:eastAsia="de-DE" w:bidi="en-US"/>
              </w:rPr>
              <w:t>th</w:t>
            </w:r>
            <w:r w:rsidRPr="00BE08E3">
              <w:rPr>
                <w:rFonts w:eastAsia="Times New Roman"/>
                <w:noProof w:val="0"/>
                <w:sz w:val="16"/>
                <w:szCs w:val="16"/>
                <w:lang w:val="id" w:eastAsia="de-DE" w:bidi="en-US"/>
              </w:rPr>
              <w:t xml:space="preserve"> 2025</w:t>
            </w:r>
          </w:p>
          <w:p w:rsidR="00CA4AC7" w:rsidRPr="00BE08E3" w:rsidRDefault="00AE6B86" w:rsidP="007D471B">
            <w:pPr>
              <w:adjustRightInd w:val="0"/>
              <w:snapToGrid w:val="0"/>
              <w:spacing w:line="360" w:lineRule="auto"/>
              <w:ind w:right="113"/>
              <w:jc w:val="left"/>
              <w:rPr>
                <w:rFonts w:eastAsia="DengXian"/>
                <w:noProof w:val="0"/>
                <w:color w:val="auto"/>
                <w:sz w:val="16"/>
                <w:lang w:val="id" w:eastAsia="de-DE" w:bidi="en-US"/>
              </w:rPr>
            </w:pPr>
            <w:r>
              <w:rPr>
                <w:rFonts w:eastAsia="Times New Roman"/>
                <w:noProof w:val="0"/>
                <w:sz w:val="16"/>
                <w:szCs w:val="16"/>
                <w:lang w:val="id" w:eastAsia="de-DE" w:bidi="en-US"/>
              </w:rPr>
              <w:t>Curr. Ver.: April, 25</w:t>
            </w:r>
            <w:r w:rsidR="00CA4AC7" w:rsidRPr="00BE08E3">
              <w:rPr>
                <w:rFonts w:eastAsia="Times New Roman"/>
                <w:noProof w:val="0"/>
                <w:sz w:val="16"/>
                <w:szCs w:val="16"/>
                <w:vertAlign w:val="superscript"/>
                <w:lang w:val="id" w:eastAsia="de-DE" w:bidi="en-US"/>
              </w:rPr>
              <w:t>th</w:t>
            </w:r>
            <w:r w:rsidR="00CA4AC7" w:rsidRPr="00BE08E3">
              <w:rPr>
                <w:rFonts w:eastAsia="Times New Roman"/>
                <w:noProof w:val="0"/>
                <w:sz w:val="16"/>
                <w:szCs w:val="16"/>
                <w:lang w:val="id" w:eastAsia="de-DE" w:bidi="en-US"/>
              </w:rPr>
              <w:t xml:space="preserve"> 2025</w:t>
            </w:r>
          </w:p>
        </w:tc>
      </w:tr>
      <w:tr w:rsidR="00CA4AC7" w:rsidRPr="00BE08E3" w:rsidTr="00CA4AC7">
        <w:tc>
          <w:tcPr>
            <w:tcW w:w="2410" w:type="dxa"/>
            <w:shd w:val="clear" w:color="auto" w:fill="auto"/>
          </w:tcPr>
          <w:p w:rsidR="00CA4AC7" w:rsidRPr="00BE08E3" w:rsidRDefault="00CA4AC7" w:rsidP="007D471B">
            <w:pPr>
              <w:adjustRightInd w:val="0"/>
              <w:snapToGrid w:val="0"/>
              <w:spacing w:line="360" w:lineRule="auto"/>
              <w:ind w:right="113"/>
              <w:jc w:val="left"/>
              <w:rPr>
                <w:rFonts w:eastAsia="DengXian"/>
                <w:bCs/>
                <w:sz w:val="14"/>
                <w:szCs w:val="14"/>
                <w:lang w:val="id" w:bidi="en-US"/>
              </w:rPr>
            </w:pPr>
            <w:r w:rsidRPr="00BE08E3">
              <w:rPr>
                <w:lang w:eastAsia="en-US"/>
              </w:rPr>
              <w:drawing>
                <wp:inline distT="0" distB="0" distL="0" distR="0" wp14:anchorId="3EB0C245" wp14:editId="1E19AE0E">
                  <wp:extent cx="934110" cy="328295"/>
                  <wp:effectExtent l="0" t="0" r="0" b="0"/>
                  <wp:docPr id="8657459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942" cy="329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4AC7" w:rsidRPr="00BE08E3" w:rsidRDefault="00CA4AC7" w:rsidP="007D471B">
            <w:pPr>
              <w:adjustRightInd w:val="0"/>
              <w:snapToGrid w:val="0"/>
              <w:spacing w:line="360" w:lineRule="auto"/>
              <w:ind w:right="113"/>
              <w:jc w:val="left"/>
              <w:rPr>
                <w:rFonts w:eastAsia="Times New Roman"/>
                <w:noProof w:val="0"/>
                <w:sz w:val="16"/>
                <w:lang w:val="id" w:eastAsia="de-DE" w:bidi="en-US"/>
              </w:rPr>
            </w:pPr>
            <w:r w:rsidRPr="00BE08E3">
              <w:rPr>
                <w:rFonts w:eastAsia="DengXian"/>
                <w:noProof w:val="0"/>
                <w:sz w:val="16"/>
                <w:lang w:val="id" w:eastAsia="de-DE" w:bidi="en-US"/>
              </w:rPr>
              <w:t xml:space="preserve">Hak cipta: © 2025 oleh penulis. Diserahkan untuk kemungkinan publikasi akses terbuka berdasarkan syarat dan ketentuan </w:t>
            </w:r>
            <w:r w:rsidRPr="00BE08E3">
              <w:rPr>
                <w:rFonts w:eastAsia="DengXian"/>
                <w:noProof w:val="0"/>
                <w:color w:val="auto"/>
                <w:sz w:val="16"/>
                <w:lang w:val="id" w:eastAsia="de-DE" w:bidi="en-US"/>
              </w:rPr>
              <w:t xml:space="preserve">lisensi Creative Commons Attribution (CC BY SA) ( </w:t>
            </w:r>
            <w:r w:rsidR="00941650">
              <w:rPr>
                <w:rFonts w:eastAsia="DengXian"/>
                <w:noProof w:val="0"/>
                <w:color w:val="auto"/>
                <w:sz w:val="16"/>
                <w:u w:val="single"/>
                <w:lang w:val="id" w:eastAsia="de-DE" w:bidi="en-US"/>
              </w:rPr>
              <w:fldChar w:fldCharType="begin"/>
            </w:r>
            <w:r w:rsidR="00941650">
              <w:rPr>
                <w:rFonts w:eastAsia="DengXian"/>
                <w:noProof w:val="0"/>
                <w:color w:val="auto"/>
                <w:sz w:val="16"/>
                <w:u w:val="single"/>
                <w:lang w:val="id" w:eastAsia="de-DE" w:bidi="en-US"/>
              </w:rPr>
              <w:instrText xml:space="preserve"> HYPERLINK "https://creativecommons.org/licenses/by-sa/4.0/" </w:instrText>
            </w:r>
            <w:r w:rsidR="00941650">
              <w:rPr>
                <w:rFonts w:eastAsia="DengXian"/>
                <w:noProof w:val="0"/>
                <w:color w:val="auto"/>
                <w:sz w:val="16"/>
                <w:u w:val="single"/>
                <w:lang w:val="id" w:eastAsia="de-DE" w:bidi="en-US"/>
              </w:rPr>
              <w:fldChar w:fldCharType="separate"/>
            </w:r>
            <w:r w:rsidRPr="00BE08E3">
              <w:rPr>
                <w:rFonts w:eastAsia="DengXian"/>
                <w:noProof w:val="0"/>
                <w:color w:val="auto"/>
                <w:sz w:val="16"/>
                <w:u w:val="single"/>
                <w:lang w:val="id" w:eastAsia="de-DE" w:bidi="en-US"/>
              </w:rPr>
              <w:t xml:space="preserve">https://creativecommons.org/licenses/by-sa/4.0/ </w:t>
            </w:r>
            <w:r w:rsidR="00941650">
              <w:rPr>
                <w:rFonts w:eastAsia="DengXian"/>
                <w:noProof w:val="0"/>
                <w:color w:val="auto"/>
                <w:sz w:val="16"/>
                <w:u w:val="single"/>
                <w:lang w:val="id" w:eastAsia="de-DE" w:bidi="en-US"/>
              </w:rPr>
              <w:fldChar w:fldCharType="end"/>
            </w:r>
            <w:r w:rsidRPr="00BE08E3">
              <w:rPr>
                <w:rFonts w:eastAsia="DengXian"/>
                <w:noProof w:val="0"/>
                <w:color w:val="auto"/>
                <w:sz w:val="16"/>
                <w:lang w:val="id" w:eastAsia="de-DE" w:bidi="en-US"/>
              </w:rPr>
              <w:t>)</w:t>
            </w:r>
          </w:p>
        </w:tc>
      </w:tr>
    </w:tbl>
    <w:bookmarkEnd w:id="0"/>
    <w:p w:rsidR="00CA4AC7" w:rsidRDefault="00CA4AC7" w:rsidP="00282756">
      <w:pPr>
        <w:pStyle w:val="ListParagraph"/>
        <w:numPr>
          <w:ilvl w:val="0"/>
          <w:numId w:val="21"/>
        </w:numPr>
        <w:adjustRightInd w:val="0"/>
        <w:snapToGrid w:val="0"/>
        <w:spacing w:after="0" w:line="240" w:lineRule="auto"/>
        <w:ind w:left="2610"/>
        <w:rPr>
          <w:rFonts w:ascii="Garamond" w:eastAsia="Times New Roman" w:hAnsi="Garamond"/>
          <w:sz w:val="20"/>
          <w:szCs w:val="20"/>
          <w:lang w:val="id" w:eastAsia="de-DE" w:bidi="en-US"/>
        </w:rPr>
      </w:pPr>
      <w:r w:rsidRPr="00CA4AC7">
        <w:rPr>
          <w:rFonts w:ascii="Garamond" w:eastAsia="Times New Roman" w:hAnsi="Garamond"/>
          <w:sz w:val="20"/>
          <w:szCs w:val="20"/>
          <w:lang w:val="id" w:eastAsia="de-DE" w:bidi="en-US"/>
        </w:rPr>
        <w:t xml:space="preserve">Program </w:t>
      </w:r>
      <w:bookmarkStart w:id="1" w:name="_GoBack"/>
      <w:r w:rsidRPr="00CA4AC7">
        <w:rPr>
          <w:rFonts w:ascii="Garamond" w:eastAsia="Times New Roman" w:hAnsi="Garamond"/>
          <w:sz w:val="20"/>
          <w:szCs w:val="20"/>
          <w:lang w:val="id" w:eastAsia="de-DE" w:bidi="en-US"/>
        </w:rPr>
        <w:t xml:space="preserve">Studi Akuntansi, Fakultas Ekonomi dan Bisnis, </w:t>
      </w:r>
      <w:r w:rsidR="00282756" w:rsidRPr="00282756">
        <w:rPr>
          <w:rFonts w:ascii="Garamond" w:eastAsia="Times New Roman" w:hAnsi="Garamond"/>
          <w:sz w:val="20"/>
          <w:szCs w:val="20"/>
          <w:lang w:val="id" w:eastAsia="de-DE" w:bidi="en-US"/>
        </w:rPr>
        <w:t>Universitas Buana Perjuangan Karawang</w:t>
      </w:r>
      <w:r>
        <w:rPr>
          <w:rFonts w:ascii="Garamond" w:eastAsia="Times New Roman" w:hAnsi="Garamond"/>
          <w:sz w:val="20"/>
          <w:szCs w:val="20"/>
          <w:lang w:val="id" w:eastAsia="de-DE" w:bidi="en-US"/>
        </w:rPr>
        <w:t>, Indonesia 1</w:t>
      </w:r>
      <w:r w:rsidRPr="00C84017">
        <w:rPr>
          <w:rFonts w:ascii="Garamond" w:eastAsia="Times New Roman" w:hAnsi="Garamond"/>
          <w:sz w:val="20"/>
          <w:szCs w:val="20"/>
          <w:lang w:val="id" w:eastAsia="de-DE" w:bidi="en-US"/>
        </w:rPr>
        <w:t xml:space="preserve">; email : </w:t>
      </w:r>
      <w:r w:rsidR="00941650">
        <w:rPr>
          <w:rStyle w:val="Hyperlink"/>
          <w:rFonts w:ascii="Garamond" w:eastAsia="Times New Roman" w:hAnsi="Garamond"/>
          <w:sz w:val="20"/>
          <w:szCs w:val="20"/>
          <w:lang w:val="id" w:eastAsia="de-DE" w:bidi="en-US"/>
        </w:rPr>
        <w:fldChar w:fldCharType="begin"/>
      </w:r>
      <w:r w:rsidR="00941650">
        <w:rPr>
          <w:rStyle w:val="Hyperlink"/>
          <w:rFonts w:ascii="Garamond" w:eastAsia="Times New Roman" w:hAnsi="Garamond"/>
          <w:sz w:val="20"/>
          <w:szCs w:val="20"/>
          <w:lang w:val="id" w:eastAsia="de-DE" w:bidi="en-US"/>
        </w:rPr>
        <w:instrText xml:space="preserve"> HYPERLINK "mailto:ak21.tutiindarwati@mhs.ubpkarawang.ac.id" </w:instrText>
      </w:r>
      <w:r w:rsidR="00941650">
        <w:rPr>
          <w:rStyle w:val="Hyperlink"/>
          <w:rFonts w:ascii="Garamond" w:eastAsia="Times New Roman" w:hAnsi="Garamond"/>
          <w:sz w:val="20"/>
          <w:szCs w:val="20"/>
          <w:lang w:val="id" w:eastAsia="de-DE" w:bidi="en-US"/>
        </w:rPr>
        <w:fldChar w:fldCharType="separate"/>
      </w:r>
      <w:r w:rsidRPr="007E21E2">
        <w:rPr>
          <w:rStyle w:val="Hyperlink"/>
          <w:rFonts w:ascii="Garamond" w:eastAsia="Times New Roman" w:hAnsi="Garamond"/>
          <w:sz w:val="20"/>
          <w:szCs w:val="20"/>
          <w:lang w:val="id" w:eastAsia="de-DE" w:bidi="en-US"/>
        </w:rPr>
        <w:t>ak21.tutiindarwati@mhs.ubpkarawang.ac.id</w:t>
      </w:r>
      <w:r w:rsidR="00941650">
        <w:rPr>
          <w:rStyle w:val="Hyperlink"/>
          <w:rFonts w:ascii="Garamond" w:eastAsia="Times New Roman" w:hAnsi="Garamond"/>
          <w:sz w:val="20"/>
          <w:szCs w:val="20"/>
          <w:lang w:val="id" w:eastAsia="de-DE" w:bidi="en-US"/>
        </w:rPr>
        <w:fldChar w:fldCharType="end"/>
      </w:r>
      <w:r>
        <w:rPr>
          <w:rFonts w:ascii="Garamond" w:eastAsia="Times New Roman" w:hAnsi="Garamond"/>
          <w:sz w:val="20"/>
          <w:szCs w:val="20"/>
          <w:lang w:val="id" w:eastAsia="de-DE" w:bidi="en-US"/>
        </w:rPr>
        <w:t xml:space="preserve"> </w:t>
      </w:r>
    </w:p>
    <w:p w:rsidR="00CA4AC7" w:rsidRDefault="00CA4AC7" w:rsidP="00282756">
      <w:pPr>
        <w:pStyle w:val="ListParagraph"/>
        <w:numPr>
          <w:ilvl w:val="0"/>
          <w:numId w:val="21"/>
        </w:numPr>
        <w:adjustRightInd w:val="0"/>
        <w:snapToGrid w:val="0"/>
        <w:spacing w:after="0" w:line="240" w:lineRule="auto"/>
        <w:ind w:left="2610"/>
        <w:rPr>
          <w:rFonts w:ascii="Garamond" w:eastAsia="Times New Roman" w:hAnsi="Garamond"/>
          <w:sz w:val="20"/>
          <w:szCs w:val="20"/>
          <w:lang w:val="id" w:eastAsia="de-DE" w:bidi="en-US"/>
        </w:rPr>
      </w:pPr>
      <w:r w:rsidRPr="00CA4AC7">
        <w:rPr>
          <w:rFonts w:ascii="Garamond" w:eastAsia="Times New Roman" w:hAnsi="Garamond"/>
          <w:sz w:val="20"/>
          <w:szCs w:val="20"/>
          <w:lang w:val="id" w:eastAsia="de-DE" w:bidi="en-US"/>
        </w:rPr>
        <w:t xml:space="preserve">Program Studi Akuntansi, Fakultas Ekonomi dan Bisnis, </w:t>
      </w:r>
      <w:r w:rsidR="00282756" w:rsidRPr="00282756">
        <w:rPr>
          <w:rFonts w:ascii="Garamond" w:eastAsia="Times New Roman" w:hAnsi="Garamond"/>
          <w:sz w:val="20"/>
          <w:szCs w:val="20"/>
          <w:lang w:val="id" w:eastAsia="de-DE" w:bidi="en-US"/>
        </w:rPr>
        <w:t>Universitas Buana Perjuangan Karawang</w:t>
      </w:r>
      <w:r>
        <w:rPr>
          <w:rFonts w:ascii="Garamond" w:eastAsia="Times New Roman" w:hAnsi="Garamond"/>
          <w:sz w:val="20"/>
          <w:szCs w:val="20"/>
          <w:lang w:val="id" w:eastAsia="de-DE" w:bidi="en-US"/>
        </w:rPr>
        <w:t>, Indonesia 2</w:t>
      </w:r>
      <w:r w:rsidRPr="00C84017">
        <w:rPr>
          <w:rFonts w:ascii="Garamond" w:eastAsia="Times New Roman" w:hAnsi="Garamond"/>
          <w:sz w:val="20"/>
          <w:szCs w:val="20"/>
          <w:lang w:val="id" w:eastAsia="de-DE" w:bidi="en-US"/>
        </w:rPr>
        <w:t xml:space="preserve">; email : </w:t>
      </w:r>
      <w:r w:rsidRPr="00CA4AC7">
        <w:rPr>
          <w:rFonts w:ascii="Garamond" w:eastAsia="Times New Roman" w:hAnsi="Garamond"/>
          <w:sz w:val="20"/>
          <w:szCs w:val="20"/>
          <w:lang w:val="id" w:eastAsia="de-DE" w:bidi="en-US"/>
        </w:rPr>
        <w:t xml:space="preserve">, </w:t>
      </w:r>
      <w:hyperlink r:id="rId8" w:history="1">
        <w:r w:rsidRPr="007E21E2">
          <w:rPr>
            <w:rStyle w:val="Hyperlink"/>
            <w:rFonts w:ascii="Garamond" w:eastAsia="Times New Roman" w:hAnsi="Garamond"/>
            <w:sz w:val="20"/>
            <w:szCs w:val="20"/>
            <w:lang w:val="id" w:eastAsia="de-DE" w:bidi="en-US"/>
          </w:rPr>
          <w:t>devi.astriani@ubpkarawang.ac.id</w:t>
        </w:r>
      </w:hyperlink>
      <w:r>
        <w:rPr>
          <w:rFonts w:ascii="Garamond" w:eastAsia="Times New Roman" w:hAnsi="Garamond"/>
          <w:sz w:val="20"/>
          <w:szCs w:val="20"/>
          <w:lang w:val="id" w:eastAsia="de-DE" w:bidi="en-US"/>
        </w:rPr>
        <w:t xml:space="preserve"> </w:t>
      </w:r>
    </w:p>
    <w:p w:rsidR="00CA4AC7" w:rsidRPr="00CA4AC7" w:rsidRDefault="00CA4AC7" w:rsidP="00282756">
      <w:pPr>
        <w:pStyle w:val="ListParagraph"/>
        <w:numPr>
          <w:ilvl w:val="0"/>
          <w:numId w:val="21"/>
        </w:numPr>
        <w:adjustRightInd w:val="0"/>
        <w:snapToGrid w:val="0"/>
        <w:spacing w:after="0" w:line="240" w:lineRule="auto"/>
        <w:ind w:left="2610"/>
        <w:rPr>
          <w:rFonts w:ascii="Garamond" w:eastAsia="Times New Roman" w:hAnsi="Garamond"/>
          <w:sz w:val="20"/>
          <w:szCs w:val="20"/>
          <w:lang w:val="id" w:eastAsia="de-DE" w:bidi="en-US"/>
        </w:rPr>
      </w:pPr>
      <w:r w:rsidRPr="00CA4AC7">
        <w:rPr>
          <w:rFonts w:ascii="Garamond" w:eastAsia="Times New Roman" w:hAnsi="Garamond"/>
          <w:sz w:val="20"/>
          <w:szCs w:val="20"/>
          <w:lang w:val="id" w:eastAsia="de-DE" w:bidi="en-US"/>
        </w:rPr>
        <w:t xml:space="preserve">Program Studi Akuntansi, Fakultas Ekonomi dan Bisnis, </w:t>
      </w:r>
      <w:r w:rsidR="00282756" w:rsidRPr="00282756">
        <w:rPr>
          <w:rFonts w:ascii="Garamond" w:eastAsia="Times New Roman" w:hAnsi="Garamond"/>
          <w:sz w:val="20"/>
          <w:szCs w:val="20"/>
          <w:lang w:val="id" w:eastAsia="de-DE" w:bidi="en-US"/>
        </w:rPr>
        <w:t>Universitas Buana Perjuangan Karawang</w:t>
      </w:r>
      <w:r>
        <w:rPr>
          <w:rFonts w:ascii="Garamond" w:eastAsia="Times New Roman" w:hAnsi="Garamond"/>
          <w:sz w:val="20"/>
          <w:szCs w:val="20"/>
          <w:lang w:val="id" w:eastAsia="de-DE" w:bidi="en-US"/>
        </w:rPr>
        <w:t xml:space="preserve">, Indonesia </w:t>
      </w:r>
      <w:bookmarkEnd w:id="1"/>
      <w:r>
        <w:rPr>
          <w:rFonts w:ascii="Garamond" w:eastAsia="Times New Roman" w:hAnsi="Garamond"/>
          <w:sz w:val="20"/>
          <w:szCs w:val="20"/>
          <w:lang w:val="id" w:eastAsia="de-DE" w:bidi="en-US"/>
        </w:rPr>
        <w:t>1</w:t>
      </w:r>
      <w:r w:rsidRPr="00C84017">
        <w:rPr>
          <w:rFonts w:ascii="Garamond" w:eastAsia="Times New Roman" w:hAnsi="Garamond"/>
          <w:sz w:val="20"/>
          <w:szCs w:val="20"/>
          <w:lang w:val="id" w:eastAsia="de-DE" w:bidi="en-US"/>
        </w:rPr>
        <w:t xml:space="preserve">; email : </w:t>
      </w:r>
      <w:r w:rsidR="00941650">
        <w:rPr>
          <w:rStyle w:val="Hyperlink"/>
          <w:rFonts w:ascii="Garamond" w:eastAsia="Times New Roman" w:hAnsi="Garamond"/>
          <w:sz w:val="20"/>
          <w:szCs w:val="20"/>
          <w:lang w:val="id" w:eastAsia="de-DE" w:bidi="en-US"/>
        </w:rPr>
        <w:fldChar w:fldCharType="begin"/>
      </w:r>
      <w:r w:rsidR="00941650">
        <w:rPr>
          <w:rStyle w:val="Hyperlink"/>
          <w:rFonts w:ascii="Garamond" w:eastAsia="Times New Roman" w:hAnsi="Garamond"/>
          <w:sz w:val="20"/>
          <w:szCs w:val="20"/>
          <w:lang w:val="id" w:eastAsia="de-DE" w:bidi="en-US"/>
        </w:rPr>
        <w:instrText xml:space="preserve"> HYPERLINK "mailto:septiana.rahayu@ubpkarawang.ac.id" </w:instrText>
      </w:r>
      <w:r w:rsidR="00941650">
        <w:rPr>
          <w:rStyle w:val="Hyperlink"/>
          <w:rFonts w:ascii="Garamond" w:eastAsia="Times New Roman" w:hAnsi="Garamond"/>
          <w:sz w:val="20"/>
          <w:szCs w:val="20"/>
          <w:lang w:val="id" w:eastAsia="de-DE" w:bidi="en-US"/>
        </w:rPr>
        <w:fldChar w:fldCharType="separate"/>
      </w:r>
      <w:r w:rsidR="00A25294" w:rsidRPr="00D258DA">
        <w:rPr>
          <w:rStyle w:val="Hyperlink"/>
          <w:rFonts w:ascii="Garamond" w:eastAsia="Times New Roman" w:hAnsi="Garamond"/>
          <w:sz w:val="20"/>
          <w:szCs w:val="20"/>
          <w:lang w:val="id" w:eastAsia="de-DE" w:bidi="en-US"/>
        </w:rPr>
        <w:t>septiana.rahayu@ubpkarawang.ac.id</w:t>
      </w:r>
      <w:r w:rsidR="00941650">
        <w:rPr>
          <w:rStyle w:val="Hyperlink"/>
          <w:rFonts w:ascii="Garamond" w:eastAsia="Times New Roman" w:hAnsi="Garamond"/>
          <w:sz w:val="20"/>
          <w:szCs w:val="20"/>
          <w:lang w:val="id" w:eastAsia="de-DE" w:bidi="en-US"/>
        </w:rPr>
        <w:fldChar w:fldCharType="end"/>
      </w:r>
      <w:r w:rsidR="00A25294">
        <w:rPr>
          <w:rFonts w:ascii="Garamond" w:eastAsia="Times New Roman" w:hAnsi="Garamond"/>
          <w:sz w:val="20"/>
          <w:szCs w:val="20"/>
          <w:lang w:val="id" w:eastAsia="de-DE" w:bidi="en-US"/>
        </w:rPr>
        <w:t xml:space="preserve"> </w:t>
      </w:r>
    </w:p>
    <w:p w:rsidR="00CA4AC7" w:rsidRPr="00BE08E3" w:rsidRDefault="00CA4AC7" w:rsidP="007D471B">
      <w:pPr>
        <w:adjustRightInd w:val="0"/>
        <w:snapToGrid w:val="0"/>
        <w:spacing w:line="240" w:lineRule="auto"/>
        <w:ind w:left="2806" w:hanging="198"/>
        <w:jc w:val="left"/>
        <w:rPr>
          <w:rFonts w:eastAsia="Times New Roman"/>
          <w:b w:val="0"/>
          <w:bCs/>
          <w:noProof w:val="0"/>
          <w:sz w:val="18"/>
          <w:szCs w:val="18"/>
          <w:lang w:val="id" w:eastAsia="de-DE" w:bidi="en-US"/>
        </w:rPr>
      </w:pPr>
      <w:r w:rsidRPr="00BE08E3">
        <w:rPr>
          <w:rFonts w:eastAsia="Times New Roman"/>
          <w:b w:val="0"/>
          <w:bCs/>
          <w:noProof w:val="0"/>
          <w:sz w:val="18"/>
          <w:szCs w:val="18"/>
          <w:lang w:val="id" w:eastAsia="de-DE" w:bidi="en-US"/>
        </w:rPr>
        <w:t>* Corresponding Author</w:t>
      </w:r>
      <w:r w:rsidRPr="00BE08E3">
        <w:rPr>
          <w:rFonts w:eastAsia="Times New Roman"/>
          <w:noProof w:val="0"/>
          <w:sz w:val="18"/>
          <w:szCs w:val="18"/>
          <w:lang w:val="id" w:eastAsia="de-DE" w:bidi="en-US"/>
        </w:rPr>
        <w:t xml:space="preserve"> : </w:t>
      </w:r>
      <w:r w:rsidR="00A25294" w:rsidRPr="00A25294">
        <w:rPr>
          <w:rFonts w:eastAsia="Times New Roman"/>
          <w:b w:val="0"/>
          <w:noProof w:val="0"/>
          <w:sz w:val="18"/>
          <w:szCs w:val="22"/>
          <w:lang w:val="id" w:eastAsia="de-DE" w:bidi="en-US"/>
        </w:rPr>
        <w:t>Tuti Indarwati</w:t>
      </w:r>
    </w:p>
    <w:p w:rsidR="00CA4AC7" w:rsidRPr="00BE08E3" w:rsidRDefault="00CA4AC7" w:rsidP="007D471B">
      <w:pPr>
        <w:adjustRightInd w:val="0"/>
        <w:snapToGrid w:val="0"/>
        <w:spacing w:line="240" w:lineRule="auto"/>
        <w:ind w:left="2806" w:hanging="198"/>
        <w:jc w:val="left"/>
        <w:rPr>
          <w:rFonts w:eastAsia="Times New Roman"/>
          <w:b w:val="0"/>
          <w:noProof w:val="0"/>
          <w:sz w:val="18"/>
          <w:szCs w:val="18"/>
          <w:lang w:val="id" w:eastAsia="de-DE" w:bidi="en-US"/>
        </w:rPr>
      </w:pPr>
    </w:p>
    <w:p w:rsidR="00CA4AC7" w:rsidRDefault="00CA4AC7" w:rsidP="007D471B">
      <w:pPr>
        <w:adjustRightInd w:val="0"/>
        <w:snapToGrid w:val="0"/>
        <w:spacing w:line="240" w:lineRule="auto"/>
        <w:ind w:left="2608"/>
        <w:rPr>
          <w:rFonts w:eastAsia="Times New Roman"/>
          <w:b w:val="0"/>
          <w:bCs/>
          <w:noProof w:val="0"/>
          <w:sz w:val="20"/>
          <w:szCs w:val="18"/>
          <w:lang w:val="id" w:eastAsia="de-DE" w:bidi="en-US"/>
        </w:rPr>
      </w:pPr>
      <w:r w:rsidRPr="00BE08E3">
        <w:rPr>
          <w:rFonts w:eastAsia="Times New Roman"/>
          <w:noProof w:val="0"/>
          <w:sz w:val="20"/>
          <w:szCs w:val="18"/>
          <w:lang w:val="id" w:eastAsia="de-DE" w:bidi="en-US"/>
        </w:rPr>
        <w:t xml:space="preserve">Abstract: </w:t>
      </w:r>
      <w:r w:rsidR="00A25294" w:rsidRPr="00A25294">
        <w:rPr>
          <w:rFonts w:eastAsia="Times New Roman"/>
          <w:b w:val="0"/>
          <w:bCs/>
          <w:noProof w:val="0"/>
          <w:sz w:val="20"/>
          <w:szCs w:val="18"/>
          <w:lang w:val="id" w:eastAsia="de-DE" w:bidi="en-US"/>
        </w:rPr>
        <w:t>Study This aiming For analyze influence commissioner independent , audit committee , reporting sustainability , and connection political to avoidance tax on company sector property and real estate listed on the IDX for the 2021-2023 period . The method used is panel data regression with a total sample of 51 observations . Results test regression show that audit committee (B 0.022; p 0.038) and connection politics (B 0.043; p=0.048) has an effect significant to avoidance tax , while commissioner independent (p=0.991) and reporting sustainability (p = 0.898) no influential significant . Conclusion show that effectiveness audit committee presses avoidance tax , while connection political precisely push it . Implications from study This highlight importance strengthening internal audit function and management connection ethical politics use increase transparency And compliance taxation company</w:t>
      </w:r>
    </w:p>
    <w:p w:rsidR="00A25294" w:rsidRPr="00BE08E3" w:rsidRDefault="00A25294" w:rsidP="007D471B">
      <w:pPr>
        <w:adjustRightInd w:val="0"/>
        <w:snapToGrid w:val="0"/>
        <w:spacing w:line="240" w:lineRule="auto"/>
        <w:ind w:left="2608"/>
        <w:rPr>
          <w:lang w:val="id" w:eastAsia="de-DE" w:bidi="en-US"/>
        </w:rPr>
      </w:pPr>
    </w:p>
    <w:p w:rsidR="00CA4AC7" w:rsidRDefault="00CA4AC7" w:rsidP="007D471B">
      <w:pPr>
        <w:adjustRightInd w:val="0"/>
        <w:snapToGrid w:val="0"/>
        <w:spacing w:line="240" w:lineRule="auto"/>
        <w:ind w:left="2608"/>
        <w:rPr>
          <w:rFonts w:eastAsia="Times New Roman"/>
          <w:b w:val="0"/>
          <w:bCs/>
          <w:noProof w:val="0"/>
          <w:snapToGrid w:val="0"/>
          <w:sz w:val="20"/>
          <w:szCs w:val="18"/>
          <w:lang w:val="id" w:eastAsia="de-DE" w:bidi="en-US"/>
        </w:rPr>
      </w:pPr>
      <w:r w:rsidRPr="00BE08E3">
        <w:rPr>
          <w:rFonts w:eastAsia="Times New Roman"/>
          <w:noProof w:val="0"/>
          <w:snapToGrid w:val="0"/>
          <w:sz w:val="20"/>
          <w:szCs w:val="18"/>
          <w:lang w:val="id" w:eastAsia="de-DE" w:bidi="en-US"/>
        </w:rPr>
        <w:t xml:space="preserve">Keywords: </w:t>
      </w:r>
      <w:r w:rsidR="00A25294" w:rsidRPr="00A25294">
        <w:rPr>
          <w:rFonts w:eastAsia="Times New Roman"/>
          <w:b w:val="0"/>
          <w:bCs/>
          <w:noProof w:val="0"/>
          <w:snapToGrid w:val="0"/>
          <w:sz w:val="20"/>
          <w:szCs w:val="18"/>
          <w:lang w:val="id" w:eastAsia="de-DE" w:bidi="en-US"/>
        </w:rPr>
        <w:t>Audit Committee; Avoidance tax; Commissioner Independent; Connection Political; Reporting Sustainability</w:t>
      </w:r>
    </w:p>
    <w:p w:rsidR="00CA4AC7" w:rsidRPr="00BE08E3" w:rsidRDefault="00CA4AC7" w:rsidP="007D471B">
      <w:pPr>
        <w:adjustRightInd w:val="0"/>
        <w:snapToGrid w:val="0"/>
        <w:spacing w:line="360" w:lineRule="auto"/>
        <w:ind w:left="2608"/>
        <w:rPr>
          <w:rFonts w:eastAsia="Times New Roman"/>
          <w:b w:val="0"/>
          <w:bCs/>
          <w:noProof w:val="0"/>
          <w:snapToGrid w:val="0"/>
          <w:sz w:val="20"/>
          <w:szCs w:val="18"/>
          <w:lang w:val="id" w:eastAsia="de-DE" w:bidi="en-US"/>
        </w:rPr>
      </w:pPr>
    </w:p>
    <w:p w:rsidR="00CA4AC7" w:rsidRPr="00453302" w:rsidRDefault="00CA4AC7" w:rsidP="007D471B">
      <w:pPr>
        <w:pStyle w:val="heading1FAITH"/>
        <w:numPr>
          <w:ilvl w:val="0"/>
          <w:numId w:val="12"/>
        </w:numPr>
        <w:spacing w:before="0" w:after="0" w:line="360" w:lineRule="auto"/>
        <w:rPr>
          <w:sz w:val="22"/>
          <w:lang w:eastAsia="zh-CN"/>
        </w:rPr>
      </w:pPr>
      <w:r w:rsidRPr="00453302">
        <w:rPr>
          <w:sz w:val="22"/>
          <w:lang w:eastAsia="zh-CN"/>
        </w:rPr>
        <w:t>Introduction</w:t>
      </w:r>
    </w:p>
    <w:p w:rsidR="00A25294" w:rsidRPr="00A25294" w:rsidRDefault="00A25294" w:rsidP="007D471B">
      <w:pPr>
        <w:pStyle w:val="maintextFAITH"/>
        <w:spacing w:line="360" w:lineRule="auto"/>
        <w:rPr>
          <w:lang w:val="en-ID"/>
        </w:rPr>
      </w:pPr>
      <w:r w:rsidRPr="00A25294">
        <w:rPr>
          <w:lang w:val="en-ID"/>
        </w:rPr>
        <w:t xml:space="preserve">The 2024 State Budget report notes reception tax amounting to Rp2,802.3 trillion , with tax the largest Rp2,309.9 trillion and PNBP of Rp492 trillion ( </w:t>
      </w:r>
      <w:proofErr w:type="spellStart"/>
      <w:r w:rsidRPr="00A25294">
        <w:rPr>
          <w:lang w:val="en-ID"/>
        </w:rPr>
        <w:t>Kharis</w:t>
      </w:r>
      <w:proofErr w:type="spellEnd"/>
      <w:r w:rsidRPr="00A25294">
        <w:rPr>
          <w:lang w:val="en-ID"/>
        </w:rPr>
        <w:t xml:space="preserve"> s, 2023). Optimization income country done with notice sustainability </w:t>
      </w:r>
      <w:proofErr w:type="gramStart"/>
      <w:r w:rsidRPr="00A25294">
        <w:rPr>
          <w:lang w:val="en-ID"/>
        </w:rPr>
        <w:t>effort ,</w:t>
      </w:r>
      <w:proofErr w:type="gramEnd"/>
      <w:r w:rsidRPr="00A25294">
        <w:rPr>
          <w:lang w:val="en-ID"/>
        </w:rPr>
        <w:t xml:space="preserve"> power buy society , and justice taxation . According to Constitution Number 16 of 2009, tax is obligation every individual And paid body to country in a way force without reward </w:t>
      </w:r>
      <w:proofErr w:type="gramStart"/>
      <w:r w:rsidRPr="00A25294">
        <w:rPr>
          <w:lang w:val="en-ID"/>
        </w:rPr>
        <w:t>direct ,</w:t>
      </w:r>
      <w:proofErr w:type="gramEnd"/>
      <w:r w:rsidRPr="00A25294">
        <w:rPr>
          <w:lang w:val="en-ID"/>
        </w:rPr>
        <w:t xml:space="preserve"> use interest And welfare general . (</w:t>
      </w:r>
      <w:proofErr w:type="spellStart"/>
      <w:r w:rsidRPr="00A25294">
        <w:rPr>
          <w:lang w:val="en-ID"/>
        </w:rPr>
        <w:t>Wulandari</w:t>
      </w:r>
      <w:proofErr w:type="spellEnd"/>
      <w:r w:rsidRPr="00A25294">
        <w:rPr>
          <w:lang w:val="en-ID"/>
        </w:rPr>
        <w:t xml:space="preserve"> &amp; </w:t>
      </w:r>
      <w:proofErr w:type="spellStart"/>
      <w:r w:rsidRPr="00A25294">
        <w:rPr>
          <w:lang w:val="en-ID"/>
        </w:rPr>
        <w:t>Fitria</w:t>
      </w:r>
      <w:proofErr w:type="spellEnd"/>
      <w:r w:rsidRPr="00A25294">
        <w:rPr>
          <w:lang w:val="en-ID"/>
        </w:rPr>
        <w:t>, 2021</w:t>
      </w:r>
      <w:proofErr w:type="gramStart"/>
      <w:r w:rsidRPr="00A25294">
        <w:rPr>
          <w:lang w:val="en-ID"/>
        </w:rPr>
        <w:t>) .</w:t>
      </w:r>
      <w:proofErr w:type="gramEnd"/>
    </w:p>
    <w:p w:rsidR="00A25294" w:rsidRPr="00A25294" w:rsidRDefault="00A25294" w:rsidP="007D471B">
      <w:pPr>
        <w:pStyle w:val="maintextFAITH"/>
        <w:spacing w:line="360" w:lineRule="auto"/>
        <w:rPr>
          <w:lang w:val="en-ID"/>
        </w:rPr>
      </w:pPr>
      <w:r w:rsidRPr="00A25294">
        <w:rPr>
          <w:lang w:val="en-ID"/>
        </w:rPr>
        <w:t xml:space="preserve">Study show that underperforming companies transparent in reporting This tend avoid tax , give rise to concern that low commitment to sustainability related with effort avoidance obligation tax , which on its turn reduce accountability And transparency report yearly . Many company more focus on report finances that show </w:t>
      </w:r>
      <w:proofErr w:type="gramStart"/>
      <w:r w:rsidRPr="00A25294">
        <w:rPr>
          <w:lang w:val="en-ID"/>
        </w:rPr>
        <w:t>profitability ,</w:t>
      </w:r>
      <w:proofErr w:type="gramEnd"/>
      <w:r w:rsidRPr="00A25294">
        <w:rPr>
          <w:lang w:val="en-ID"/>
        </w:rPr>
        <w:t xml:space="preserve"> so that ignore aspect </w:t>
      </w:r>
      <w:r w:rsidRPr="00A25294">
        <w:rPr>
          <w:lang w:val="en-ID"/>
        </w:rPr>
        <w:lastRenderedPageBreak/>
        <w:t xml:space="preserve">sustainability , which has the potential create gap for avoidance tax And show lack of commitment to principle order good management ( </w:t>
      </w:r>
      <w:proofErr w:type="spellStart"/>
      <w:r w:rsidRPr="00A25294">
        <w:rPr>
          <w:lang w:val="en-ID"/>
        </w:rPr>
        <w:t>Prihandono</w:t>
      </w:r>
      <w:proofErr w:type="spellEnd"/>
      <w:r w:rsidRPr="00A25294">
        <w:rPr>
          <w:lang w:val="en-ID"/>
        </w:rPr>
        <w:t xml:space="preserve"> &amp; </w:t>
      </w:r>
      <w:proofErr w:type="spellStart"/>
      <w:r w:rsidRPr="00A25294">
        <w:rPr>
          <w:lang w:val="en-ID"/>
        </w:rPr>
        <w:t>Herliansyah</w:t>
      </w:r>
      <w:proofErr w:type="spellEnd"/>
      <w:r w:rsidRPr="00A25294">
        <w:rPr>
          <w:lang w:val="en-ID"/>
        </w:rPr>
        <w:t>, 2025 ) .</w:t>
      </w:r>
    </w:p>
    <w:p w:rsidR="00A25294" w:rsidRPr="00A25294" w:rsidRDefault="00A25294" w:rsidP="007D471B">
      <w:pPr>
        <w:pStyle w:val="maintextFAITH"/>
        <w:spacing w:line="360" w:lineRule="auto"/>
        <w:rPr>
          <w:lang w:val="en-ID"/>
        </w:rPr>
      </w:pPr>
      <w:r w:rsidRPr="00A25294">
        <w:rPr>
          <w:lang w:val="en-ID"/>
        </w:rPr>
        <w:t xml:space="preserve">Focus company on transparency And accountability through report finance company public How order manage company influence avoidance taxes , as well as strengthen practice sustainable business . In addition </w:t>
      </w:r>
      <w:proofErr w:type="gramStart"/>
      <w:r w:rsidRPr="00A25294">
        <w:rPr>
          <w:lang w:val="en-ID"/>
        </w:rPr>
        <w:t>that ,</w:t>
      </w:r>
      <w:proofErr w:type="gramEnd"/>
      <w:r w:rsidRPr="00A25294">
        <w:rPr>
          <w:lang w:val="en-ID"/>
        </w:rPr>
        <w:t xml:space="preserve"> improvement awareness will sustainability push developer For apply practice friendly environment (Adie Tirtakusuma1, 2025) . Meanwhile regulation more taxation strict force company For increase compliance taxes to maintain reputation they (</w:t>
      </w:r>
      <w:proofErr w:type="spellStart"/>
      <w:r w:rsidRPr="00A25294">
        <w:rPr>
          <w:lang w:val="en-ID"/>
        </w:rPr>
        <w:t>Murtina</w:t>
      </w:r>
      <w:proofErr w:type="spellEnd"/>
      <w:r w:rsidRPr="00A25294">
        <w:rPr>
          <w:lang w:val="en-ID"/>
        </w:rPr>
        <w:t xml:space="preserve"> et al., 2022</w:t>
      </w:r>
      <w:proofErr w:type="gramStart"/>
      <w:r w:rsidRPr="00A25294">
        <w:rPr>
          <w:lang w:val="en-ID"/>
        </w:rPr>
        <w:t>) .</w:t>
      </w:r>
      <w:proofErr w:type="gramEnd"/>
    </w:p>
    <w:p w:rsidR="00A25294" w:rsidRPr="00A25294" w:rsidRDefault="00A25294" w:rsidP="007D471B">
      <w:pPr>
        <w:pStyle w:val="maintextFAITH"/>
        <w:spacing w:line="360" w:lineRule="auto"/>
        <w:rPr>
          <w:lang w:val="en-ID"/>
        </w:rPr>
      </w:pPr>
      <w:r w:rsidRPr="00A25294">
        <w:rPr>
          <w:lang w:val="en-ID"/>
        </w:rPr>
        <w:t xml:space="preserve">From the year previously avoidance tax by company the more increasing , especially among investors and stakeholders interest with studies by </w:t>
      </w:r>
      <w:proofErr w:type="spellStart"/>
      <w:r w:rsidRPr="00A25294">
        <w:rPr>
          <w:lang w:val="en-ID"/>
        </w:rPr>
        <w:t>Wulansari</w:t>
      </w:r>
      <w:proofErr w:type="spellEnd"/>
      <w:r w:rsidRPr="00A25294">
        <w:rPr>
          <w:lang w:val="en-ID"/>
        </w:rPr>
        <w:t xml:space="preserve"> &amp; </w:t>
      </w:r>
      <w:proofErr w:type="spellStart"/>
      <w:r w:rsidRPr="00A25294">
        <w:rPr>
          <w:lang w:val="en-ID"/>
        </w:rPr>
        <w:t>Pohan</w:t>
      </w:r>
      <w:proofErr w:type="spellEnd"/>
      <w:r w:rsidRPr="00A25294">
        <w:rPr>
          <w:lang w:val="en-ID"/>
        </w:rPr>
        <w:t xml:space="preserve"> (2024) , found company commissioners active independent tend own practice more taxation transparent . Besides that , reporting sustainability Also play a role important in Corporate Governance that influences avoidance tax ; research by The Last Supper (2025) However , the connection political still become factor significant , where study by </w:t>
      </w:r>
      <w:proofErr w:type="spellStart"/>
      <w:r w:rsidRPr="00A25294">
        <w:rPr>
          <w:lang w:val="en-ID"/>
        </w:rPr>
        <w:t>Fitiasari</w:t>
      </w:r>
      <w:proofErr w:type="spellEnd"/>
      <w:r w:rsidRPr="00A25294">
        <w:rPr>
          <w:lang w:val="en-ID"/>
        </w:rPr>
        <w:t xml:space="preserve"> &amp; </w:t>
      </w:r>
      <w:proofErr w:type="spellStart"/>
      <w:r w:rsidRPr="00A25294">
        <w:rPr>
          <w:lang w:val="en-ID"/>
        </w:rPr>
        <w:t>Suwandi</w:t>
      </w:r>
      <w:proofErr w:type="spellEnd"/>
      <w:r w:rsidRPr="00A25294">
        <w:rPr>
          <w:lang w:val="en-ID"/>
        </w:rPr>
        <w:t xml:space="preserve"> (2020) , shows that that proximity company with official government often push practice avoidance tax aggressive that can harm income country .</w:t>
      </w:r>
    </w:p>
    <w:p w:rsidR="00A25294" w:rsidRPr="00A25294" w:rsidRDefault="00A25294" w:rsidP="007D471B">
      <w:pPr>
        <w:pStyle w:val="maintextFAITH"/>
        <w:spacing w:line="360" w:lineRule="auto"/>
        <w:rPr>
          <w:lang w:val="en-ID"/>
        </w:rPr>
      </w:pPr>
      <w:r w:rsidRPr="00A25294">
        <w:rPr>
          <w:lang w:val="en-ID"/>
        </w:rPr>
        <w:t xml:space="preserve">A number of companies on the IDX show connection </w:t>
      </w:r>
      <w:proofErr w:type="gramStart"/>
      <w:r w:rsidRPr="00A25294">
        <w:rPr>
          <w:lang w:val="en-ID"/>
        </w:rPr>
        <w:t>significant ,</w:t>
      </w:r>
      <w:proofErr w:type="gramEnd"/>
      <w:r w:rsidRPr="00A25294">
        <w:rPr>
          <w:lang w:val="en-ID"/>
        </w:rPr>
        <w:t xml:space="preserve"> where the more Lots commissioner independent , level avoidance tax tend more low ., because improvement transparency And supervision (Rodríguez, </w:t>
      </w:r>
      <w:proofErr w:type="spellStart"/>
      <w:r w:rsidRPr="00A25294">
        <w:rPr>
          <w:lang w:val="en-ID"/>
        </w:rPr>
        <w:t>Velastequí</w:t>
      </w:r>
      <w:proofErr w:type="spellEnd"/>
      <w:r w:rsidRPr="00A25294">
        <w:rPr>
          <w:lang w:val="en-ID"/>
        </w:rPr>
        <w:t>, 2019) . Effective audit committee Also contribute on subtraction avoidance tax with increase accuracy report finance (</w:t>
      </w:r>
      <w:proofErr w:type="spellStart"/>
      <w:r w:rsidRPr="00A25294">
        <w:rPr>
          <w:lang w:val="en-ID"/>
        </w:rPr>
        <w:t>Rini</w:t>
      </w:r>
      <w:proofErr w:type="spellEnd"/>
      <w:r w:rsidRPr="00A25294">
        <w:rPr>
          <w:lang w:val="en-ID"/>
        </w:rPr>
        <w:t xml:space="preserve"> </w:t>
      </w:r>
      <w:proofErr w:type="spellStart"/>
      <w:r w:rsidRPr="00A25294">
        <w:rPr>
          <w:lang w:val="en-ID"/>
        </w:rPr>
        <w:t>Polanunu</w:t>
      </w:r>
      <w:proofErr w:type="spellEnd"/>
      <w:r w:rsidRPr="00A25294">
        <w:rPr>
          <w:lang w:val="en-ID"/>
        </w:rPr>
        <w:t xml:space="preserve"> &amp; </w:t>
      </w:r>
      <w:proofErr w:type="spellStart"/>
      <w:r w:rsidRPr="00A25294">
        <w:rPr>
          <w:lang w:val="en-ID"/>
        </w:rPr>
        <w:t>Hexana</w:t>
      </w:r>
      <w:proofErr w:type="spellEnd"/>
      <w:r w:rsidRPr="00A25294">
        <w:rPr>
          <w:lang w:val="en-ID"/>
        </w:rPr>
        <w:t xml:space="preserve"> Sri </w:t>
      </w:r>
      <w:proofErr w:type="spellStart"/>
      <w:r w:rsidRPr="00A25294">
        <w:rPr>
          <w:lang w:val="en-ID"/>
        </w:rPr>
        <w:t>Lastanti</w:t>
      </w:r>
      <w:proofErr w:type="spellEnd"/>
      <w:r w:rsidRPr="00A25294">
        <w:rPr>
          <w:lang w:val="en-ID"/>
        </w:rPr>
        <w:t>, 2024</w:t>
      </w:r>
      <w:proofErr w:type="gramStart"/>
      <w:r w:rsidRPr="00A25294">
        <w:rPr>
          <w:lang w:val="en-ID"/>
        </w:rPr>
        <w:t>) .</w:t>
      </w:r>
      <w:proofErr w:type="gramEnd"/>
      <w:r w:rsidRPr="00A25294">
        <w:rPr>
          <w:lang w:val="en-ID"/>
        </w:rPr>
        <w:t xml:space="preserve"> On the other </w:t>
      </w:r>
      <w:proofErr w:type="gramStart"/>
      <w:r w:rsidRPr="00A25294">
        <w:rPr>
          <w:lang w:val="en-ID"/>
        </w:rPr>
        <w:t>hand ,</w:t>
      </w:r>
      <w:proofErr w:type="gramEnd"/>
      <w:r w:rsidRPr="00A25294">
        <w:rPr>
          <w:lang w:val="en-ID"/>
        </w:rPr>
        <w:t xml:space="preserve"> companies with connection strong politics often do avoidance tax more high , utilizing connection the For reduce obligation taxation (</w:t>
      </w:r>
      <w:proofErr w:type="spellStart"/>
      <w:r w:rsidRPr="00A25294">
        <w:rPr>
          <w:lang w:val="en-ID"/>
        </w:rPr>
        <w:t>Maulina</w:t>
      </w:r>
      <w:proofErr w:type="spellEnd"/>
      <w:r w:rsidRPr="00A25294">
        <w:rPr>
          <w:lang w:val="en-ID"/>
        </w:rPr>
        <w:t xml:space="preserve"> &amp; </w:t>
      </w:r>
      <w:proofErr w:type="spellStart"/>
      <w:r w:rsidRPr="00A25294">
        <w:rPr>
          <w:lang w:val="en-ID"/>
        </w:rPr>
        <w:t>Mu'arif</w:t>
      </w:r>
      <w:proofErr w:type="spellEnd"/>
      <w:r w:rsidRPr="00A25294">
        <w:rPr>
          <w:lang w:val="en-ID"/>
        </w:rPr>
        <w:t xml:space="preserve">, 2024) . Apart from </w:t>
      </w:r>
      <w:proofErr w:type="gramStart"/>
      <w:r w:rsidRPr="00A25294">
        <w:rPr>
          <w:lang w:val="en-ID"/>
        </w:rPr>
        <w:t>that ,</w:t>
      </w:r>
      <w:proofErr w:type="gramEnd"/>
      <w:r w:rsidRPr="00A25294">
        <w:rPr>
          <w:lang w:val="en-ID"/>
        </w:rPr>
        <w:t xml:space="preserve"> the company is active report sustainability tend comply obligation tax they (</w:t>
      </w:r>
      <w:proofErr w:type="spellStart"/>
      <w:r w:rsidRPr="00A25294">
        <w:rPr>
          <w:lang w:val="en-ID"/>
        </w:rPr>
        <w:t>Hardiono</w:t>
      </w:r>
      <w:proofErr w:type="spellEnd"/>
      <w:r w:rsidRPr="00A25294">
        <w:rPr>
          <w:lang w:val="en-ID"/>
        </w:rPr>
        <w:t xml:space="preserve"> et al., 2024) . In general overall , factors corporate governance This impact significant on avoidance taxes , with empirical data show that characteristics executive Also play a role in connection </w:t>
      </w:r>
      <w:proofErr w:type="spellStart"/>
      <w:r w:rsidRPr="00A25294">
        <w:rPr>
          <w:lang w:val="en-ID"/>
        </w:rPr>
        <w:t>the</w:t>
      </w:r>
      <w:proofErr w:type="spellEnd"/>
      <w:r w:rsidRPr="00A25294">
        <w:rPr>
          <w:lang w:val="en-ID"/>
        </w:rPr>
        <w:t xml:space="preserve"> .</w:t>
      </w:r>
    </w:p>
    <w:p w:rsidR="00A25294" w:rsidRPr="00A25294" w:rsidRDefault="00A25294" w:rsidP="007D471B">
      <w:pPr>
        <w:pStyle w:val="maintextFAITH"/>
        <w:spacing w:line="360" w:lineRule="auto"/>
        <w:rPr>
          <w:lang w:val="en-ID"/>
        </w:rPr>
      </w:pPr>
      <w:r w:rsidRPr="00A25294">
        <w:rPr>
          <w:lang w:val="en-ID"/>
        </w:rPr>
        <w:t xml:space="preserve">Results study about avoidance tax show connection significant with various factor corporate </w:t>
      </w:r>
      <w:proofErr w:type="gramStart"/>
      <w:r w:rsidRPr="00A25294">
        <w:rPr>
          <w:lang w:val="en-ID"/>
        </w:rPr>
        <w:t>governance ,</w:t>
      </w:r>
      <w:proofErr w:type="gramEnd"/>
      <w:r w:rsidRPr="00A25294">
        <w:rPr>
          <w:lang w:val="en-ID"/>
        </w:rPr>
        <w:t xml:space="preserve"> Ahmadi &amp; Rahman (2020) researching connection political And avoidance taxes in Indonesia, Showing CSR plays a role as variable significant moderation . The Last Supper (2021) Also emphasize that influence connection political to avoidance tax influenced by structure Company </w:t>
      </w:r>
      <w:proofErr w:type="gramStart"/>
      <w:r w:rsidRPr="00A25294">
        <w:rPr>
          <w:lang w:val="en-ID"/>
        </w:rPr>
        <w:t>ownership .</w:t>
      </w:r>
      <w:proofErr w:type="gramEnd"/>
      <w:r w:rsidRPr="00A25294">
        <w:rPr>
          <w:lang w:val="en-ID"/>
        </w:rPr>
        <w:t xml:space="preserve"> In addition </w:t>
      </w:r>
      <w:proofErr w:type="gramStart"/>
      <w:r w:rsidRPr="00A25294">
        <w:rPr>
          <w:lang w:val="en-ID"/>
        </w:rPr>
        <w:t>that ,</w:t>
      </w:r>
      <w:proofErr w:type="gramEnd"/>
      <w:r w:rsidRPr="00A25294">
        <w:rPr>
          <w:lang w:val="en-ID"/>
        </w:rPr>
        <w:t xml:space="preserve"> Agustina &amp; </w:t>
      </w:r>
      <w:proofErr w:type="spellStart"/>
      <w:r w:rsidRPr="00A25294">
        <w:rPr>
          <w:lang w:val="en-ID"/>
        </w:rPr>
        <w:t>Putri</w:t>
      </w:r>
      <w:proofErr w:type="spellEnd"/>
      <w:r w:rsidRPr="00A25294">
        <w:rPr>
          <w:lang w:val="en-ID"/>
        </w:rPr>
        <w:t xml:space="preserve"> (2022) show that reporting sustainability influence perception holder share about avoidance tax . Studies This indicates the need study more carry on about interaction factors the in context Good Corporate </w:t>
      </w:r>
      <w:proofErr w:type="gramStart"/>
      <w:r w:rsidRPr="00A25294">
        <w:rPr>
          <w:lang w:val="en-ID"/>
        </w:rPr>
        <w:t>Governance .</w:t>
      </w:r>
      <w:proofErr w:type="gramEnd"/>
      <w:r w:rsidRPr="00A25294">
        <w:rPr>
          <w:lang w:val="en-ID"/>
        </w:rPr>
        <w:t xml:space="preserve"> </w:t>
      </w:r>
      <w:proofErr w:type="spellStart"/>
      <w:r w:rsidRPr="00A25294">
        <w:rPr>
          <w:lang w:val="en-ID"/>
        </w:rPr>
        <w:t>Maidina</w:t>
      </w:r>
      <w:proofErr w:type="spellEnd"/>
      <w:r w:rsidRPr="00A25294">
        <w:rPr>
          <w:lang w:val="en-ID"/>
        </w:rPr>
        <w:t xml:space="preserve"> (2020) and </w:t>
      </w:r>
      <w:proofErr w:type="spellStart"/>
      <w:r w:rsidRPr="00A25294">
        <w:rPr>
          <w:lang w:val="en-ID"/>
        </w:rPr>
        <w:t>Ngabdillah</w:t>
      </w:r>
      <w:proofErr w:type="spellEnd"/>
      <w:r w:rsidRPr="00A25294">
        <w:rPr>
          <w:lang w:val="en-ID"/>
        </w:rPr>
        <w:t xml:space="preserve"> et al., (2022) the result that effective supervision can press practice avoidance </w:t>
      </w:r>
      <w:proofErr w:type="gramStart"/>
      <w:r w:rsidRPr="00A25294">
        <w:rPr>
          <w:lang w:val="en-ID"/>
        </w:rPr>
        <w:t>tax ,</w:t>
      </w:r>
      <w:proofErr w:type="gramEnd"/>
      <w:r w:rsidRPr="00A25294">
        <w:rPr>
          <w:lang w:val="en-ID"/>
        </w:rPr>
        <w:t xml:space="preserve"> with transparency And accountability as factor mainly .</w:t>
      </w:r>
    </w:p>
    <w:p w:rsidR="00A25294" w:rsidRPr="00A25294" w:rsidRDefault="00A25294" w:rsidP="007D471B">
      <w:pPr>
        <w:pStyle w:val="maintextFAITH"/>
        <w:spacing w:line="360" w:lineRule="auto"/>
        <w:rPr>
          <w:lang w:val="en-ID"/>
        </w:rPr>
      </w:pPr>
    </w:p>
    <w:p w:rsidR="00CA4AC7" w:rsidRPr="00453302" w:rsidRDefault="00CA4AC7" w:rsidP="007D471B">
      <w:pPr>
        <w:pStyle w:val="heading1FAITH"/>
        <w:numPr>
          <w:ilvl w:val="0"/>
          <w:numId w:val="12"/>
        </w:numPr>
        <w:spacing w:before="0" w:after="0" w:line="360" w:lineRule="auto"/>
        <w:rPr>
          <w:sz w:val="22"/>
        </w:rPr>
      </w:pPr>
      <w:r w:rsidRPr="00453302">
        <w:rPr>
          <w:sz w:val="22"/>
          <w:lang w:eastAsia="zh-CN"/>
        </w:rPr>
        <w:lastRenderedPageBreak/>
        <w:t>Literature</w:t>
      </w:r>
      <w:r w:rsidRPr="00453302">
        <w:rPr>
          <w:sz w:val="22"/>
        </w:rPr>
        <w:t xml:space="preserve"> Review</w:t>
      </w:r>
    </w:p>
    <w:p w:rsidR="00CA4AC7" w:rsidRPr="00453302" w:rsidRDefault="00CA4AC7" w:rsidP="007D471B">
      <w:pPr>
        <w:pStyle w:val="heading2FAITH"/>
        <w:spacing w:before="0" w:after="0" w:line="360" w:lineRule="auto"/>
      </w:pPr>
      <w:r>
        <w:t xml:space="preserve">2.1 </w:t>
      </w:r>
      <w:r w:rsidR="00BF476F" w:rsidRPr="00BF476F">
        <w:t>Good Corporate Governance</w:t>
      </w:r>
    </w:p>
    <w:p w:rsidR="00BF476F" w:rsidRPr="00BF476F" w:rsidRDefault="00BF476F" w:rsidP="007D471B">
      <w:pPr>
        <w:pStyle w:val="maintextFAITH"/>
        <w:spacing w:line="360" w:lineRule="auto"/>
      </w:pPr>
      <w:r w:rsidRPr="00BF476F">
        <w:t xml:space="preserve">Good Corporate Governance (GCG) aims optimize mark company And protect right stakeholders </w:t>
      </w:r>
      <w:proofErr w:type="gramStart"/>
      <w:r w:rsidRPr="00BF476F">
        <w:t>interests .</w:t>
      </w:r>
      <w:proofErr w:type="gramEnd"/>
      <w:r w:rsidRPr="00BF476F">
        <w:t xml:space="preserve"> </w:t>
      </w:r>
      <w:proofErr w:type="gramStart"/>
      <w:r w:rsidRPr="00BF476F">
        <w:t xml:space="preserve">( </w:t>
      </w:r>
      <w:proofErr w:type="spellStart"/>
      <w:r w:rsidRPr="00BF476F">
        <w:t>Daffa</w:t>
      </w:r>
      <w:proofErr w:type="spellEnd"/>
      <w:proofErr w:type="gramEnd"/>
      <w:r w:rsidRPr="00BF476F">
        <w:t xml:space="preserve"> &amp; </w:t>
      </w:r>
      <w:proofErr w:type="spellStart"/>
      <w:r w:rsidRPr="00BF476F">
        <w:t>Herwiyanti</w:t>
      </w:r>
      <w:proofErr w:type="spellEnd"/>
      <w:r w:rsidRPr="00BF476F">
        <w:t xml:space="preserve">, 2023) . Good implementation of GCG can reduce </w:t>
      </w:r>
      <w:proofErr w:type="gramStart"/>
      <w:r w:rsidRPr="00BF476F">
        <w:t>risk ,</w:t>
      </w:r>
      <w:proofErr w:type="gramEnd"/>
      <w:r w:rsidRPr="00BF476F">
        <w:t xml:space="preserve"> increase efficiency operational , and build investor confidence and society . (Julian &amp; </w:t>
      </w:r>
      <w:proofErr w:type="spellStart"/>
      <w:r w:rsidRPr="00BF476F">
        <w:t>Zega</w:t>
      </w:r>
      <w:proofErr w:type="spellEnd"/>
      <w:r w:rsidRPr="00BF476F">
        <w:t>, 2023</w:t>
      </w:r>
      <w:proofErr w:type="gramStart"/>
      <w:r w:rsidRPr="00BF476F">
        <w:t>) .</w:t>
      </w:r>
      <w:proofErr w:type="gramEnd"/>
      <w:r w:rsidRPr="00BF476F">
        <w:t xml:space="preserve"> In addition </w:t>
      </w:r>
      <w:proofErr w:type="gramStart"/>
      <w:r w:rsidRPr="00BF476F">
        <w:t>that ,</w:t>
      </w:r>
      <w:proofErr w:type="gramEnd"/>
      <w:r w:rsidRPr="00BF476F">
        <w:t xml:space="preserve"> GCG too play a role important in prevent practice corruption And abuse power , so that create environment more business Healthy And sustainable .</w:t>
      </w:r>
    </w:p>
    <w:p w:rsidR="00CA4AC7" w:rsidRDefault="00CA4AC7" w:rsidP="007D471B">
      <w:pPr>
        <w:pStyle w:val="heading2FAITH"/>
        <w:spacing w:before="0" w:after="0" w:line="360" w:lineRule="auto"/>
      </w:pPr>
      <w:r>
        <w:t xml:space="preserve">2.2 </w:t>
      </w:r>
      <w:r w:rsidR="00BF476F" w:rsidRPr="00BF476F">
        <w:t>Theory Legitimacy</w:t>
      </w:r>
    </w:p>
    <w:p w:rsidR="00BF476F" w:rsidRPr="00453302" w:rsidRDefault="00BF476F" w:rsidP="007D471B">
      <w:pPr>
        <w:pStyle w:val="maintextFAITH"/>
        <w:spacing w:line="360" w:lineRule="auto"/>
      </w:pPr>
      <w:r w:rsidRPr="00BF476F">
        <w:t xml:space="preserve">Theory This explain business company For to obtain And Guard trust stakeholders interest through implementation harmonious practice with norm as well as expectation </w:t>
      </w:r>
      <w:proofErr w:type="gramStart"/>
      <w:r w:rsidRPr="00BF476F">
        <w:t>social .</w:t>
      </w:r>
      <w:proofErr w:type="gramEnd"/>
      <w:r w:rsidRPr="00BF476F">
        <w:t xml:space="preserve"> (</w:t>
      </w:r>
      <w:proofErr w:type="spellStart"/>
      <w:r w:rsidRPr="00BF476F">
        <w:t>Tino</w:t>
      </w:r>
      <w:proofErr w:type="spellEnd"/>
      <w:r w:rsidRPr="00BF476F">
        <w:t xml:space="preserve"> &amp; </w:t>
      </w:r>
      <w:proofErr w:type="spellStart"/>
      <w:r w:rsidRPr="00BF476F">
        <w:t>Sudana</w:t>
      </w:r>
      <w:proofErr w:type="spellEnd"/>
      <w:r w:rsidRPr="00BF476F">
        <w:t>, 2025</w:t>
      </w:r>
      <w:proofErr w:type="gramStart"/>
      <w:r w:rsidRPr="00BF476F">
        <w:t>) .</w:t>
      </w:r>
      <w:proofErr w:type="gramEnd"/>
      <w:r w:rsidRPr="00BF476F">
        <w:t xml:space="preserve"> With increase accountability through reporting sustainability , the Company can prove dedication they </w:t>
      </w:r>
      <w:proofErr w:type="spellStart"/>
      <w:r w:rsidRPr="00BF476F">
        <w:t>to</w:t>
      </w:r>
      <w:proofErr w:type="spellEnd"/>
      <w:r w:rsidRPr="00BF476F">
        <w:t xml:space="preserve"> not quite enough answer social , which is increasingly become aspect crucial in dynamics world today 's business . On the other </w:t>
      </w:r>
      <w:proofErr w:type="gramStart"/>
      <w:r w:rsidRPr="00BF476F">
        <w:t>hand ,</w:t>
      </w:r>
      <w:proofErr w:type="gramEnd"/>
      <w:r w:rsidRPr="00BF476F">
        <w:t xml:space="preserve"> the companies involved in avoidance tax can face risk lost legitimacy , especially If practice the contradictory with hope public .</w:t>
      </w:r>
    </w:p>
    <w:p w:rsidR="00CA4AC7" w:rsidRDefault="00CA4AC7" w:rsidP="007D471B">
      <w:pPr>
        <w:spacing w:line="360" w:lineRule="auto"/>
        <w:ind w:left="2610"/>
        <w:rPr>
          <w:rFonts w:eastAsia="Times New Roman"/>
          <w:noProof w:val="0"/>
          <w:color w:val="auto"/>
          <w:szCs w:val="22"/>
          <w:lang w:eastAsia="en-US"/>
        </w:rPr>
      </w:pPr>
      <w:r>
        <w:rPr>
          <w:rFonts w:eastAsia="Times New Roman"/>
          <w:noProof w:val="0"/>
          <w:color w:val="auto"/>
          <w:szCs w:val="22"/>
          <w:lang w:eastAsia="en-US"/>
        </w:rPr>
        <w:t xml:space="preserve">2.3 </w:t>
      </w:r>
      <w:r w:rsidR="00BF476F" w:rsidRPr="00BF476F">
        <w:rPr>
          <w:rFonts w:eastAsia="Times New Roman"/>
          <w:noProof w:val="0"/>
          <w:color w:val="auto"/>
          <w:szCs w:val="22"/>
          <w:lang w:eastAsia="en-US"/>
        </w:rPr>
        <w:t>Interest Group Theory</w:t>
      </w:r>
    </w:p>
    <w:p w:rsidR="00BF476F" w:rsidRPr="00BF476F" w:rsidRDefault="00BF476F" w:rsidP="007D471B">
      <w:pPr>
        <w:pStyle w:val="maintextFAITH"/>
        <w:spacing w:line="360" w:lineRule="auto"/>
      </w:pPr>
      <w:r w:rsidRPr="00BF476F">
        <w:t xml:space="preserve">Interest Group Theory or Can called Group Interest explain How groups with interest certain try influence policy And practice company For reach objective they (Paoki &amp; </w:t>
      </w:r>
      <w:proofErr w:type="spellStart"/>
      <w:r w:rsidRPr="00BF476F">
        <w:t>Hanafie</w:t>
      </w:r>
      <w:proofErr w:type="spellEnd"/>
      <w:r w:rsidRPr="00BF476F">
        <w:t xml:space="preserve">, 2021) . In connection political will play a role </w:t>
      </w:r>
      <w:proofErr w:type="gramStart"/>
      <w:r w:rsidRPr="00BF476F">
        <w:t>important ,</w:t>
      </w:r>
      <w:proofErr w:type="gramEnd"/>
      <w:r w:rsidRPr="00BF476F">
        <w:t xml:space="preserve"> because companies that have connection near with politician Possible influenced by interest group certain that can influence policy tax . By Because </w:t>
      </w:r>
      <w:proofErr w:type="gramStart"/>
      <w:r w:rsidRPr="00BF476F">
        <w:t>that ,</w:t>
      </w:r>
      <w:proofErr w:type="gramEnd"/>
      <w:r w:rsidRPr="00BF476F">
        <w:t xml:space="preserve"> understanding about dynamics between group interest And practice corporate governance very important For reduce avoidance tax And increase accountability company .</w:t>
      </w:r>
    </w:p>
    <w:p w:rsidR="00CA4AC7" w:rsidRPr="00453302" w:rsidRDefault="00CA4AC7" w:rsidP="007D471B">
      <w:pPr>
        <w:spacing w:line="360" w:lineRule="auto"/>
        <w:ind w:left="2610"/>
        <w:rPr>
          <w:rFonts w:eastAsia="Times New Roman"/>
          <w:b w:val="0"/>
          <w:noProof w:val="0"/>
          <w:color w:val="auto"/>
          <w:szCs w:val="22"/>
          <w:lang w:eastAsia="en-US"/>
        </w:rPr>
      </w:pPr>
      <w:r>
        <w:rPr>
          <w:rFonts w:eastAsia="Times New Roman"/>
          <w:bCs/>
          <w:noProof w:val="0"/>
          <w:color w:val="auto"/>
          <w:szCs w:val="22"/>
          <w:lang w:eastAsia="en-US"/>
        </w:rPr>
        <w:t xml:space="preserve">2.4 </w:t>
      </w:r>
      <w:r w:rsidR="00E35828" w:rsidRPr="00E35828">
        <w:rPr>
          <w:rFonts w:eastAsia="Times New Roman"/>
          <w:bCs/>
          <w:noProof w:val="0"/>
          <w:color w:val="auto"/>
          <w:szCs w:val="22"/>
          <w:lang w:eastAsia="en-US"/>
        </w:rPr>
        <w:t>Agency Theory</w:t>
      </w:r>
    </w:p>
    <w:p w:rsidR="00E35828" w:rsidRPr="00E35828" w:rsidRDefault="00E35828" w:rsidP="007D471B">
      <w:pPr>
        <w:pStyle w:val="maintextFAITH"/>
        <w:spacing w:line="360" w:lineRule="auto"/>
      </w:pPr>
      <w:r w:rsidRPr="00E35828">
        <w:t xml:space="preserve">Theory This to </w:t>
      </w:r>
      <w:proofErr w:type="gramStart"/>
      <w:r w:rsidRPr="00E35828">
        <w:t>explain  link</w:t>
      </w:r>
      <w:proofErr w:type="gramEnd"/>
      <w:r w:rsidRPr="00E35828">
        <w:t xml:space="preserve"> management And principal in context avoidance tax (</w:t>
      </w:r>
      <w:proofErr w:type="spellStart"/>
      <w:r w:rsidRPr="00E35828">
        <w:t>Gozali</w:t>
      </w:r>
      <w:proofErr w:type="spellEnd"/>
      <w:r w:rsidRPr="00E35828">
        <w:t xml:space="preserve"> et al., 2022) . </w:t>
      </w:r>
      <w:proofErr w:type="gramStart"/>
      <w:r w:rsidRPr="00E35828">
        <w:t>and</w:t>
      </w:r>
      <w:proofErr w:type="gramEnd"/>
      <w:r w:rsidRPr="00E35828">
        <w:t xml:space="preserve"> emphasize role Commissioner independent And audit committee functions supervise management act in accordance interest holder share (</w:t>
      </w:r>
      <w:proofErr w:type="spellStart"/>
      <w:r w:rsidRPr="00E35828">
        <w:t>Amaliyah</w:t>
      </w:r>
      <w:proofErr w:type="spellEnd"/>
      <w:r w:rsidRPr="00E35828">
        <w:t xml:space="preserve"> &amp; </w:t>
      </w:r>
      <w:proofErr w:type="spellStart"/>
      <w:r w:rsidRPr="00E35828">
        <w:t>Herwiyanti</w:t>
      </w:r>
      <w:proofErr w:type="spellEnd"/>
      <w:r w:rsidRPr="00E35828">
        <w:t xml:space="preserve">, 2019) . Supervision push transparency that presses avoidance tax </w:t>
      </w:r>
      <w:proofErr w:type="gramStart"/>
      <w:r w:rsidRPr="00E35828">
        <w:t>aggressive .</w:t>
      </w:r>
      <w:proofErr w:type="gramEnd"/>
      <w:r w:rsidRPr="00E35828">
        <w:t xml:space="preserve"> Reporting sustainability reflect not quite enough answer social And reduce conflict </w:t>
      </w:r>
      <w:proofErr w:type="gramStart"/>
      <w:r w:rsidRPr="00E35828">
        <w:t>interests ,</w:t>
      </w:r>
      <w:proofErr w:type="gramEnd"/>
      <w:r w:rsidRPr="00E35828">
        <w:t xml:space="preserve"> so that GCG pri</w:t>
      </w:r>
      <w:r>
        <w:t>nciples are important applied.</w:t>
      </w:r>
    </w:p>
    <w:p w:rsidR="00CA4AC7" w:rsidRDefault="00E35828" w:rsidP="007D471B">
      <w:pPr>
        <w:spacing w:line="360" w:lineRule="auto"/>
        <w:ind w:left="2610"/>
        <w:rPr>
          <w:rFonts w:eastAsia="Times New Roman"/>
          <w:bCs/>
          <w:noProof w:val="0"/>
          <w:color w:val="auto"/>
          <w:szCs w:val="22"/>
          <w:lang w:eastAsia="en-US"/>
        </w:rPr>
      </w:pPr>
      <w:r>
        <w:rPr>
          <w:rFonts w:eastAsia="Times New Roman"/>
          <w:bCs/>
          <w:noProof w:val="0"/>
          <w:color w:val="auto"/>
          <w:szCs w:val="22"/>
          <w:lang w:eastAsia="en-US"/>
        </w:rPr>
        <w:t>2.6</w:t>
      </w:r>
      <w:r w:rsidR="00CA4AC7">
        <w:rPr>
          <w:rFonts w:eastAsia="Times New Roman"/>
          <w:bCs/>
          <w:noProof w:val="0"/>
          <w:color w:val="auto"/>
          <w:szCs w:val="22"/>
          <w:lang w:eastAsia="en-US"/>
        </w:rPr>
        <w:t xml:space="preserve"> </w:t>
      </w:r>
      <w:r w:rsidRPr="00E35828">
        <w:rPr>
          <w:rFonts w:eastAsia="Times New Roman"/>
          <w:bCs/>
          <w:noProof w:val="0"/>
          <w:color w:val="auto"/>
          <w:szCs w:val="22"/>
          <w:lang w:eastAsia="en-US"/>
        </w:rPr>
        <w:t>Commissioner Independent</w:t>
      </w:r>
    </w:p>
    <w:p w:rsidR="00E35828" w:rsidRPr="00E35828" w:rsidRDefault="00A52055" w:rsidP="007D471B">
      <w:pPr>
        <w:pStyle w:val="maintextFAITH"/>
        <w:spacing w:line="360" w:lineRule="auto"/>
      </w:pPr>
      <w:r w:rsidRPr="00A52055">
        <w:t xml:space="preserve">Commissioner independent can press avoidance tax through improvement supervision And compliance to rule taxation (Michael &amp; </w:t>
      </w:r>
      <w:proofErr w:type="spellStart"/>
      <w:r w:rsidRPr="00A52055">
        <w:t>Widjaja</w:t>
      </w:r>
      <w:proofErr w:type="spellEnd"/>
      <w:r w:rsidRPr="00A52055">
        <w:t>, 2024</w:t>
      </w:r>
      <w:proofErr w:type="gramStart"/>
      <w:r w:rsidRPr="00A52055">
        <w:t>) .</w:t>
      </w:r>
      <w:proofErr w:type="gramEnd"/>
      <w:r w:rsidRPr="00A52055">
        <w:t xml:space="preserve"> Commissioner independent Hold role crucial in strengthen transparency And accountability </w:t>
      </w:r>
      <w:proofErr w:type="gramStart"/>
      <w:r w:rsidRPr="00A52055">
        <w:t>company ,</w:t>
      </w:r>
      <w:proofErr w:type="gramEnd"/>
      <w:r w:rsidRPr="00A52055">
        <w:t xml:space="preserve"> so that capable minimize practice avoidance tax . (</w:t>
      </w:r>
      <w:proofErr w:type="spellStart"/>
      <w:r w:rsidRPr="00A52055">
        <w:t>Harahap</w:t>
      </w:r>
      <w:proofErr w:type="spellEnd"/>
      <w:r w:rsidRPr="00A52055">
        <w:t xml:space="preserve"> &amp; </w:t>
      </w:r>
      <w:proofErr w:type="spellStart"/>
      <w:r w:rsidRPr="00A52055">
        <w:t>Ritonga</w:t>
      </w:r>
      <w:proofErr w:type="spellEnd"/>
      <w:r w:rsidRPr="00A52055">
        <w:t>, 2024</w:t>
      </w:r>
      <w:proofErr w:type="gramStart"/>
      <w:r w:rsidRPr="00A52055">
        <w:t>) .</w:t>
      </w:r>
      <w:proofErr w:type="gramEnd"/>
    </w:p>
    <w:p w:rsidR="00E35828" w:rsidRDefault="00E35828" w:rsidP="007D471B">
      <w:pPr>
        <w:spacing w:line="360" w:lineRule="auto"/>
        <w:ind w:left="2610"/>
        <w:rPr>
          <w:rFonts w:eastAsia="Times New Roman"/>
          <w:bCs/>
          <w:noProof w:val="0"/>
          <w:color w:val="auto"/>
          <w:szCs w:val="22"/>
          <w:lang w:eastAsia="en-US"/>
        </w:rPr>
      </w:pPr>
      <w:r>
        <w:rPr>
          <w:rFonts w:eastAsia="Times New Roman"/>
          <w:bCs/>
          <w:noProof w:val="0"/>
          <w:color w:val="auto"/>
          <w:szCs w:val="22"/>
          <w:lang w:eastAsia="en-US"/>
        </w:rPr>
        <w:lastRenderedPageBreak/>
        <w:t xml:space="preserve">2.7 </w:t>
      </w:r>
      <w:r w:rsidR="00A52055" w:rsidRPr="00A52055">
        <w:rPr>
          <w:rFonts w:eastAsia="Times New Roman"/>
          <w:bCs/>
          <w:noProof w:val="0"/>
          <w:color w:val="auto"/>
          <w:szCs w:val="22"/>
          <w:lang w:eastAsia="en-US"/>
        </w:rPr>
        <w:t>Audit Committee</w:t>
      </w:r>
    </w:p>
    <w:p w:rsidR="00E35828" w:rsidRPr="00E35828" w:rsidRDefault="00A52055" w:rsidP="007D471B">
      <w:pPr>
        <w:pStyle w:val="maintextFAITH"/>
        <w:spacing w:line="360" w:lineRule="auto"/>
      </w:pPr>
      <w:proofErr w:type="gramStart"/>
      <w:r w:rsidRPr="00A52055">
        <w:t>audit</w:t>
      </w:r>
      <w:proofErr w:type="gramEnd"/>
      <w:r w:rsidRPr="00A52055">
        <w:t xml:space="preserve"> committee is an independent unit the formation that oversees performance board of directors without mix hand management . </w:t>
      </w:r>
      <w:proofErr w:type="gramStart"/>
      <w:r w:rsidRPr="00A52055">
        <w:t xml:space="preserve">( </w:t>
      </w:r>
      <w:proofErr w:type="spellStart"/>
      <w:r w:rsidRPr="00A52055">
        <w:t>Siahaan</w:t>
      </w:r>
      <w:proofErr w:type="spellEnd"/>
      <w:proofErr w:type="gramEnd"/>
      <w:r w:rsidRPr="00A52055">
        <w:t xml:space="preserve"> &amp; Surya, 2019) . The audit committee also play a role strategic in supervise practice accountancy as well as reporting tax company to run in accordance provision And principles that apply . </w:t>
      </w:r>
      <w:proofErr w:type="gramStart"/>
      <w:r w:rsidRPr="00A52055">
        <w:t>company</w:t>
      </w:r>
      <w:proofErr w:type="gramEnd"/>
      <w:r w:rsidRPr="00A52055">
        <w:t xml:space="preserve"> more tend For comply standard accountancy And taxation , so that reduce possibility avoidance tax ( </w:t>
      </w:r>
      <w:proofErr w:type="spellStart"/>
      <w:r w:rsidRPr="00A52055">
        <w:t>Aji</w:t>
      </w:r>
      <w:proofErr w:type="spellEnd"/>
      <w:r w:rsidRPr="00A52055">
        <w:t xml:space="preserve"> &amp; </w:t>
      </w:r>
      <w:proofErr w:type="spellStart"/>
      <w:r w:rsidRPr="00A52055">
        <w:t>Arrasyid</w:t>
      </w:r>
      <w:proofErr w:type="spellEnd"/>
      <w:r w:rsidRPr="00A52055">
        <w:t>, 2023) .</w:t>
      </w:r>
    </w:p>
    <w:p w:rsidR="00E35828" w:rsidRDefault="00E35828" w:rsidP="007D471B">
      <w:pPr>
        <w:spacing w:line="360" w:lineRule="auto"/>
        <w:ind w:left="2610"/>
        <w:rPr>
          <w:rFonts w:eastAsia="Times New Roman"/>
          <w:bCs/>
          <w:noProof w:val="0"/>
          <w:color w:val="auto"/>
          <w:szCs w:val="22"/>
          <w:lang w:eastAsia="en-US"/>
        </w:rPr>
      </w:pPr>
      <w:r>
        <w:rPr>
          <w:rFonts w:eastAsia="Times New Roman"/>
          <w:bCs/>
          <w:noProof w:val="0"/>
          <w:color w:val="auto"/>
          <w:szCs w:val="22"/>
          <w:lang w:eastAsia="en-US"/>
        </w:rPr>
        <w:t xml:space="preserve">2.8 </w:t>
      </w:r>
      <w:r w:rsidR="00A52055" w:rsidRPr="00A52055">
        <w:rPr>
          <w:rFonts w:eastAsia="Times New Roman"/>
          <w:bCs/>
          <w:noProof w:val="0"/>
          <w:color w:val="auto"/>
          <w:szCs w:val="22"/>
          <w:lang w:eastAsia="en-US"/>
        </w:rPr>
        <w:t>Reporting Sustainability</w:t>
      </w:r>
    </w:p>
    <w:p w:rsidR="00E35828" w:rsidRPr="00E35828" w:rsidRDefault="00A52055" w:rsidP="007D471B">
      <w:pPr>
        <w:pStyle w:val="maintextFAITH"/>
        <w:spacing w:line="360" w:lineRule="auto"/>
      </w:pPr>
      <w:r w:rsidRPr="00A52055">
        <w:t>Reporting sustainability functioning as tool For show commitment company to management sustainable And to communicate achievement ESG objectives to stakeholders interest (Aditya, 2024</w:t>
      </w:r>
      <w:proofErr w:type="gramStart"/>
      <w:r w:rsidRPr="00A52055">
        <w:t>) .</w:t>
      </w:r>
      <w:proofErr w:type="gramEnd"/>
      <w:r w:rsidRPr="00A52055">
        <w:t xml:space="preserve"> Reporting transparent sustainability can strengthen reputation company And push compliance tax through improvement not quite enough answer social And ethics business </w:t>
      </w:r>
      <w:proofErr w:type="gramStart"/>
      <w:r w:rsidRPr="00A52055">
        <w:t xml:space="preserve">( </w:t>
      </w:r>
      <w:proofErr w:type="spellStart"/>
      <w:r w:rsidRPr="00A52055">
        <w:t>Budianto</w:t>
      </w:r>
      <w:proofErr w:type="spellEnd"/>
      <w:proofErr w:type="gramEnd"/>
      <w:r w:rsidRPr="00A52055">
        <w:t xml:space="preserve"> , 2022) .</w:t>
      </w:r>
    </w:p>
    <w:p w:rsidR="00E35828" w:rsidRDefault="00E35828" w:rsidP="007D471B">
      <w:pPr>
        <w:spacing w:line="360" w:lineRule="auto"/>
        <w:ind w:left="2610"/>
        <w:rPr>
          <w:rFonts w:eastAsia="Times New Roman"/>
          <w:bCs/>
          <w:noProof w:val="0"/>
          <w:color w:val="auto"/>
          <w:szCs w:val="22"/>
          <w:lang w:eastAsia="en-US"/>
        </w:rPr>
      </w:pPr>
      <w:r>
        <w:rPr>
          <w:rFonts w:eastAsia="Times New Roman"/>
          <w:bCs/>
          <w:noProof w:val="0"/>
          <w:color w:val="auto"/>
          <w:szCs w:val="22"/>
          <w:lang w:eastAsia="en-US"/>
        </w:rPr>
        <w:t xml:space="preserve">2.9 </w:t>
      </w:r>
      <w:r w:rsidR="00A52055" w:rsidRPr="00A52055">
        <w:rPr>
          <w:rFonts w:eastAsia="Times New Roman"/>
          <w:bCs/>
          <w:noProof w:val="0"/>
          <w:color w:val="auto"/>
          <w:szCs w:val="22"/>
          <w:lang w:eastAsia="en-US"/>
        </w:rPr>
        <w:t>Connection Political</w:t>
      </w:r>
    </w:p>
    <w:p w:rsidR="00E35828" w:rsidRPr="00E35828" w:rsidRDefault="00A52055" w:rsidP="007D471B">
      <w:pPr>
        <w:pStyle w:val="maintextFAITH"/>
        <w:spacing w:line="360" w:lineRule="auto"/>
      </w:pPr>
      <w:r w:rsidRPr="00A52055">
        <w:t xml:space="preserve">Connection political is connection with party influential used For to achieve profit together </w:t>
      </w:r>
      <w:proofErr w:type="gramStart"/>
      <w:r w:rsidRPr="00A52055">
        <w:t>( Lestari</w:t>
      </w:r>
      <w:proofErr w:type="gramEnd"/>
      <w:r w:rsidRPr="00A52055">
        <w:t xml:space="preserve"> &amp; </w:t>
      </w:r>
      <w:proofErr w:type="spellStart"/>
      <w:r w:rsidRPr="00A52055">
        <w:t>Pratomo</w:t>
      </w:r>
      <w:proofErr w:type="spellEnd"/>
      <w:r w:rsidRPr="00A52055">
        <w:t xml:space="preserve">, 2021) . Connection political can influence avoidance tax in a way </w:t>
      </w:r>
      <w:proofErr w:type="gramStart"/>
      <w:r w:rsidRPr="00A52055">
        <w:t>complex ,</w:t>
      </w:r>
      <w:proofErr w:type="gramEnd"/>
      <w:r w:rsidRPr="00A52055">
        <w:t xml:space="preserve"> good with facilitate treatment profitable tax and push compliance through more supervision big  (</w:t>
      </w:r>
      <w:proofErr w:type="spellStart"/>
      <w:r w:rsidRPr="00A52055">
        <w:t>Nursavida</w:t>
      </w:r>
      <w:proofErr w:type="spellEnd"/>
      <w:r w:rsidRPr="00A52055">
        <w:t xml:space="preserve"> et al., 2023) .</w:t>
      </w:r>
    </w:p>
    <w:p w:rsidR="00CA4AC7" w:rsidRDefault="00CA4AC7" w:rsidP="007D471B">
      <w:pPr>
        <w:spacing w:line="360" w:lineRule="auto"/>
        <w:ind w:left="2610"/>
        <w:rPr>
          <w:rFonts w:eastAsia="Calibri"/>
          <w:noProof w:val="0"/>
          <w:szCs w:val="22"/>
          <w:lang w:eastAsia="en-US"/>
        </w:rPr>
      </w:pPr>
    </w:p>
    <w:p w:rsidR="00CA4AC7" w:rsidRDefault="00FA6AE2" w:rsidP="007D471B">
      <w:pPr>
        <w:pStyle w:val="heading1FAITH"/>
        <w:numPr>
          <w:ilvl w:val="0"/>
          <w:numId w:val="12"/>
        </w:numPr>
        <w:spacing w:before="0" w:after="0" w:line="360" w:lineRule="auto"/>
        <w:rPr>
          <w:sz w:val="22"/>
          <w:lang w:eastAsia="zh-CN"/>
        </w:rPr>
      </w:pPr>
      <w:r w:rsidRPr="00FA6AE2">
        <w:rPr>
          <w:sz w:val="22"/>
          <w:lang w:eastAsia="zh-CN"/>
        </w:rPr>
        <w:t>Research Framework And Hypothesis</w:t>
      </w:r>
    </w:p>
    <w:p w:rsidR="00FA6AE2" w:rsidRDefault="00FA6AE2" w:rsidP="007D471B">
      <w:pPr>
        <w:pStyle w:val="heading1FAITH"/>
        <w:spacing w:before="0" w:after="0" w:line="360" w:lineRule="auto"/>
        <w:ind w:left="2968"/>
        <w:jc w:val="center"/>
        <w:rPr>
          <w:sz w:val="22"/>
          <w:lang w:eastAsia="zh-CN"/>
        </w:rPr>
      </w:pPr>
      <w:r w:rsidRPr="00025EC0">
        <w:rPr>
          <w:noProof/>
          <w:lang w:eastAsia="en-US" w:bidi="ar-SA"/>
        </w:rPr>
        <w:drawing>
          <wp:inline distT="0" distB="0" distL="0" distR="0" wp14:anchorId="19146C45" wp14:editId="3F8A5AD9">
            <wp:extent cx="2361861" cy="1644650"/>
            <wp:effectExtent l="0" t="0" r="635" b="0"/>
            <wp:docPr id="15405040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5040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3842" cy="166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6AE2" w:rsidRPr="00FA6AE2" w:rsidRDefault="00FA6AE2" w:rsidP="007D471B">
      <w:pPr>
        <w:pStyle w:val="maintextFAITH"/>
        <w:spacing w:line="360" w:lineRule="auto"/>
        <w:jc w:val="center"/>
        <w:rPr>
          <w:lang w:val="id"/>
        </w:rPr>
      </w:pPr>
      <w:r w:rsidRPr="00FA6AE2">
        <w:rPr>
          <w:b/>
          <w:bCs/>
          <w:lang w:val="id"/>
        </w:rPr>
        <w:t>Figure 1.</w:t>
      </w:r>
      <w:r w:rsidRPr="00FA6AE2">
        <w:rPr>
          <w:lang w:val="id"/>
        </w:rPr>
        <w:t xml:space="preserve"> Paradigm study</w:t>
      </w:r>
    </w:p>
    <w:p w:rsidR="00FA6AE2" w:rsidRPr="00FA6AE2" w:rsidRDefault="00FA6AE2" w:rsidP="007D471B">
      <w:pPr>
        <w:pStyle w:val="maintextFAITH"/>
        <w:spacing w:line="360" w:lineRule="auto"/>
        <w:jc w:val="center"/>
        <w:rPr>
          <w:lang w:val="id"/>
        </w:rPr>
      </w:pPr>
      <w:r w:rsidRPr="00FA6AE2">
        <w:rPr>
          <w:lang w:val="id"/>
        </w:rPr>
        <w:t>Source : Processed data , 2024</w:t>
      </w:r>
    </w:p>
    <w:p w:rsidR="00CA4AC7" w:rsidRPr="00453302" w:rsidRDefault="00CA4AC7" w:rsidP="007D471B">
      <w:pPr>
        <w:spacing w:line="360" w:lineRule="auto"/>
        <w:ind w:left="2610"/>
        <w:rPr>
          <w:rFonts w:eastAsia="Calibri"/>
          <w:noProof w:val="0"/>
          <w:szCs w:val="22"/>
          <w:lang w:eastAsia="en-US"/>
        </w:rPr>
      </w:pPr>
      <w:r>
        <w:rPr>
          <w:rFonts w:eastAsia="Calibri"/>
          <w:noProof w:val="0"/>
          <w:szCs w:val="22"/>
          <w:lang w:eastAsia="en-US"/>
        </w:rPr>
        <w:t xml:space="preserve">3.1 </w:t>
      </w:r>
      <w:r w:rsidR="00FA6AE2" w:rsidRPr="00FA6AE2">
        <w:rPr>
          <w:rFonts w:eastAsia="Calibri"/>
          <w:noProof w:val="0"/>
          <w:szCs w:val="22"/>
          <w:lang w:eastAsia="en-US"/>
        </w:rPr>
        <w:t xml:space="preserve">Influence Commissioner Independent </w:t>
      </w:r>
      <w:proofErr w:type="gramStart"/>
      <w:r w:rsidR="00FA6AE2" w:rsidRPr="00FA6AE2">
        <w:rPr>
          <w:rFonts w:eastAsia="Calibri"/>
          <w:noProof w:val="0"/>
          <w:szCs w:val="22"/>
          <w:lang w:eastAsia="en-US"/>
        </w:rPr>
        <w:t>To</w:t>
      </w:r>
      <w:proofErr w:type="gramEnd"/>
      <w:r w:rsidR="00FA6AE2" w:rsidRPr="00FA6AE2">
        <w:rPr>
          <w:rFonts w:eastAsia="Calibri"/>
          <w:noProof w:val="0"/>
          <w:szCs w:val="22"/>
          <w:lang w:eastAsia="en-US"/>
        </w:rPr>
        <w:t xml:space="preserve"> Avoidance Tax</w:t>
      </w:r>
    </w:p>
    <w:p w:rsidR="00FA6AE2" w:rsidRDefault="00FA6AE2" w:rsidP="007D471B">
      <w:pPr>
        <w:pStyle w:val="maintextFAITH"/>
        <w:spacing w:line="360" w:lineRule="auto"/>
      </w:pPr>
      <w:r>
        <w:t xml:space="preserve">Commissioner independent push transparency And </w:t>
      </w:r>
      <w:proofErr w:type="gramStart"/>
      <w:r>
        <w:t>accountability ,</w:t>
      </w:r>
      <w:proofErr w:type="gramEnd"/>
      <w:r>
        <w:t xml:space="preserve"> so that company tend apply practice more accounting Good And reduce avoidance tax . Research show that the more Lots commissioner </w:t>
      </w:r>
      <w:proofErr w:type="gramStart"/>
      <w:r>
        <w:t>independent ,</w:t>
      </w:r>
      <w:proofErr w:type="gramEnd"/>
      <w:r>
        <w:t xml:space="preserve"> increasingly low level avoidance tax (</w:t>
      </w:r>
      <w:proofErr w:type="spellStart"/>
      <w:r>
        <w:t>Muliasari</w:t>
      </w:r>
      <w:proofErr w:type="spellEnd"/>
      <w:r>
        <w:t xml:space="preserve"> &amp; </w:t>
      </w:r>
      <w:proofErr w:type="spellStart"/>
      <w:r>
        <w:t>Hidayat</w:t>
      </w:r>
      <w:proofErr w:type="spellEnd"/>
      <w:r>
        <w:t>, 2020) .</w:t>
      </w:r>
    </w:p>
    <w:p w:rsidR="00FA6AE2" w:rsidRDefault="00FA6AE2" w:rsidP="007D471B">
      <w:pPr>
        <w:pStyle w:val="maintextFAITH"/>
        <w:spacing w:line="360" w:lineRule="auto"/>
      </w:pPr>
      <w:r>
        <w:lastRenderedPageBreak/>
        <w:t xml:space="preserve">Commissioner independent play a role supervise practice avoidance </w:t>
      </w:r>
      <w:proofErr w:type="gramStart"/>
      <w:r>
        <w:t>tax ,</w:t>
      </w:r>
      <w:proofErr w:type="gramEnd"/>
      <w:r>
        <w:t xml:space="preserve"> but its effectiveness Not yet Of course significant although support GCG principles . </w:t>
      </w:r>
      <w:proofErr w:type="spellStart"/>
      <w:r>
        <w:t>Khomsiyah</w:t>
      </w:r>
      <w:proofErr w:type="spellEnd"/>
      <w:r>
        <w:t xml:space="preserve"> et al., (2021) study on company mining in Indonesia shows that only ownership institutional that can press aggressiveness </w:t>
      </w:r>
      <w:proofErr w:type="gramStart"/>
      <w:r>
        <w:t>tax ,</w:t>
      </w:r>
      <w:proofErr w:type="gramEnd"/>
      <w:r>
        <w:t xml:space="preserve"> then commissioner independent And audit committee does not influence .</w:t>
      </w:r>
    </w:p>
    <w:p w:rsidR="00FA6AE2" w:rsidRPr="00FA6AE2" w:rsidRDefault="00FA6AE2" w:rsidP="007D471B">
      <w:pPr>
        <w:pStyle w:val="maintextFAITH"/>
        <w:spacing w:line="360" w:lineRule="auto"/>
      </w:pPr>
      <w:proofErr w:type="gramStart"/>
      <w:r>
        <w:t>HI :</w:t>
      </w:r>
      <w:proofErr w:type="gramEnd"/>
      <w:r>
        <w:t xml:space="preserve"> Commissioner independent influential to avoidance tax</w:t>
      </w:r>
    </w:p>
    <w:p w:rsidR="00CA4AC7" w:rsidRPr="00453302" w:rsidRDefault="00CA4AC7" w:rsidP="007D471B">
      <w:pPr>
        <w:spacing w:line="360" w:lineRule="auto"/>
        <w:ind w:left="2610"/>
        <w:rPr>
          <w:rFonts w:eastAsia="Calibri"/>
          <w:noProof w:val="0"/>
          <w:szCs w:val="22"/>
          <w:lang w:eastAsia="en-US"/>
        </w:rPr>
      </w:pPr>
      <w:r>
        <w:rPr>
          <w:rFonts w:eastAsia="Calibri"/>
          <w:noProof w:val="0"/>
          <w:szCs w:val="22"/>
          <w:lang w:eastAsia="en-US"/>
        </w:rPr>
        <w:t xml:space="preserve">3.2 </w:t>
      </w:r>
      <w:r w:rsidR="00441EFB" w:rsidRPr="00441EFB">
        <w:rPr>
          <w:rFonts w:eastAsia="Calibri"/>
          <w:noProof w:val="0"/>
          <w:szCs w:val="22"/>
          <w:lang w:eastAsia="en-US"/>
        </w:rPr>
        <w:t xml:space="preserve">Influence Audit Committee </w:t>
      </w:r>
      <w:proofErr w:type="gramStart"/>
      <w:r w:rsidR="00441EFB" w:rsidRPr="00441EFB">
        <w:rPr>
          <w:rFonts w:eastAsia="Calibri"/>
          <w:noProof w:val="0"/>
          <w:szCs w:val="22"/>
          <w:lang w:eastAsia="en-US"/>
        </w:rPr>
        <w:t>Against</w:t>
      </w:r>
      <w:proofErr w:type="gramEnd"/>
      <w:r w:rsidR="00441EFB" w:rsidRPr="00441EFB">
        <w:rPr>
          <w:rFonts w:eastAsia="Calibri"/>
          <w:noProof w:val="0"/>
          <w:szCs w:val="22"/>
          <w:lang w:eastAsia="en-US"/>
        </w:rPr>
        <w:t xml:space="preserve"> Avoidance Tax</w:t>
      </w:r>
    </w:p>
    <w:p w:rsidR="00441EFB" w:rsidRDefault="00441EFB" w:rsidP="007D471B">
      <w:pPr>
        <w:pStyle w:val="maintextFAITH"/>
        <w:spacing w:line="360" w:lineRule="auto"/>
      </w:pPr>
      <w:r>
        <w:t xml:space="preserve">Audit committee oversees in a way independent so that the report finance in accordance regulation Existence effective audit committee can reduce avoidance tax with push compliance taxation And supervise practice accountancy at risk </w:t>
      </w:r>
      <w:proofErr w:type="gramStart"/>
      <w:r>
        <w:t>high .</w:t>
      </w:r>
      <w:proofErr w:type="gramEnd"/>
      <w:r>
        <w:t xml:space="preserve"> </w:t>
      </w:r>
      <w:proofErr w:type="gramStart"/>
      <w:r>
        <w:t xml:space="preserve">( </w:t>
      </w:r>
      <w:proofErr w:type="spellStart"/>
      <w:r>
        <w:t>Aji</w:t>
      </w:r>
      <w:proofErr w:type="spellEnd"/>
      <w:proofErr w:type="gramEnd"/>
      <w:r>
        <w:t xml:space="preserve"> &amp; </w:t>
      </w:r>
      <w:proofErr w:type="spellStart"/>
      <w:r>
        <w:t>Arrasyid</w:t>
      </w:r>
      <w:proofErr w:type="spellEnd"/>
      <w:r>
        <w:t>, 2023).</w:t>
      </w:r>
    </w:p>
    <w:p w:rsidR="00441EFB" w:rsidRDefault="00441EFB" w:rsidP="007D471B">
      <w:pPr>
        <w:pStyle w:val="maintextFAITH"/>
        <w:spacing w:line="360" w:lineRule="auto"/>
      </w:pPr>
      <w:r>
        <w:t xml:space="preserve">Audit committee plays a role important in supervision And company internal </w:t>
      </w:r>
      <w:proofErr w:type="gramStart"/>
      <w:r>
        <w:t>control ,</w:t>
      </w:r>
      <w:proofErr w:type="gramEnd"/>
      <w:r>
        <w:t xml:space="preserve"> including in matter compliance to regulation taxation . In context GCG </w:t>
      </w:r>
      <w:proofErr w:type="gramStart"/>
      <w:r>
        <w:t>theory ,</w:t>
      </w:r>
      <w:proofErr w:type="gramEnd"/>
      <w:r>
        <w:t xml:space="preserve"> the audit committee plays a role ensure transparency And accountability , which can reduce risk avoidance tax ( </w:t>
      </w:r>
      <w:proofErr w:type="spellStart"/>
      <w:r>
        <w:t>Wulansari</w:t>
      </w:r>
      <w:proofErr w:type="spellEnd"/>
      <w:r>
        <w:t xml:space="preserve"> &amp; </w:t>
      </w:r>
      <w:proofErr w:type="spellStart"/>
      <w:r>
        <w:t>Pohan</w:t>
      </w:r>
      <w:proofErr w:type="spellEnd"/>
      <w:r>
        <w:t>, 2024) .</w:t>
      </w:r>
    </w:p>
    <w:p w:rsidR="00FA6AE2" w:rsidRPr="00441EFB" w:rsidRDefault="00441EFB" w:rsidP="007D471B">
      <w:pPr>
        <w:pStyle w:val="maintextFAITH"/>
        <w:spacing w:line="360" w:lineRule="auto"/>
      </w:pPr>
      <w:r>
        <w:t>H2: The audit committee has an influence to avoidance tax</w:t>
      </w:r>
    </w:p>
    <w:p w:rsidR="00CA4AC7" w:rsidRPr="00453302" w:rsidRDefault="00CA4AC7" w:rsidP="007D471B">
      <w:pPr>
        <w:spacing w:line="360" w:lineRule="auto"/>
        <w:ind w:left="2610"/>
        <w:rPr>
          <w:rFonts w:eastAsia="Calibri"/>
          <w:noProof w:val="0"/>
          <w:szCs w:val="22"/>
          <w:lang w:eastAsia="en-US"/>
        </w:rPr>
      </w:pPr>
      <w:r>
        <w:rPr>
          <w:rFonts w:eastAsia="Calibri"/>
          <w:noProof w:val="0"/>
          <w:szCs w:val="22"/>
          <w:lang w:eastAsia="en-US"/>
        </w:rPr>
        <w:t xml:space="preserve">3.3 </w:t>
      </w:r>
      <w:r w:rsidR="00441EFB" w:rsidRPr="00441EFB">
        <w:rPr>
          <w:rFonts w:eastAsia="Calibri"/>
          <w:noProof w:val="0"/>
          <w:szCs w:val="22"/>
          <w:lang w:eastAsia="en-US"/>
        </w:rPr>
        <w:t xml:space="preserve">Influence Reporting Sustainability </w:t>
      </w:r>
      <w:proofErr w:type="gramStart"/>
      <w:r w:rsidR="00441EFB" w:rsidRPr="00441EFB">
        <w:rPr>
          <w:rFonts w:eastAsia="Calibri"/>
          <w:noProof w:val="0"/>
          <w:szCs w:val="22"/>
          <w:lang w:eastAsia="en-US"/>
        </w:rPr>
        <w:t>To</w:t>
      </w:r>
      <w:proofErr w:type="gramEnd"/>
      <w:r w:rsidR="00441EFB" w:rsidRPr="00441EFB">
        <w:rPr>
          <w:rFonts w:eastAsia="Calibri"/>
          <w:noProof w:val="0"/>
          <w:szCs w:val="22"/>
          <w:lang w:eastAsia="en-US"/>
        </w:rPr>
        <w:t xml:space="preserve"> Avoidance Tax</w:t>
      </w:r>
    </w:p>
    <w:p w:rsidR="00441EFB" w:rsidRDefault="00441EFB" w:rsidP="007D471B">
      <w:pPr>
        <w:pStyle w:val="maintextFAITH"/>
        <w:spacing w:line="360" w:lineRule="auto"/>
      </w:pPr>
      <w:r>
        <w:t xml:space="preserve">Reporting good sustainability strengthen </w:t>
      </w:r>
      <w:proofErr w:type="gramStart"/>
      <w:r>
        <w:t>reputation ,</w:t>
      </w:r>
      <w:proofErr w:type="gramEnd"/>
      <w:r>
        <w:t xml:space="preserve"> encourage ethics , and increase compliance tax through transparency And accountability . Research previously indicates that companies that improve reporting sustainability tend own level avoidance more taxes </w:t>
      </w:r>
      <w:proofErr w:type="gramStart"/>
      <w:r>
        <w:t>low .</w:t>
      </w:r>
      <w:proofErr w:type="gramEnd"/>
      <w:r>
        <w:t xml:space="preserve"> (Aditya, 2024</w:t>
      </w:r>
      <w:proofErr w:type="gramStart"/>
      <w:r>
        <w:t>) .</w:t>
      </w:r>
      <w:proofErr w:type="gramEnd"/>
    </w:p>
    <w:p w:rsidR="00441EFB" w:rsidRDefault="00441EFB" w:rsidP="007D471B">
      <w:pPr>
        <w:pStyle w:val="maintextFAITH"/>
        <w:spacing w:line="360" w:lineRule="auto"/>
      </w:pPr>
      <w:r>
        <w:t xml:space="preserve">Reporting sustainability related with avoidance tax in Theory </w:t>
      </w:r>
      <w:proofErr w:type="gramStart"/>
      <w:r>
        <w:t>Legitimacy ,</w:t>
      </w:r>
      <w:proofErr w:type="gramEnd"/>
      <w:r>
        <w:t xml:space="preserve"> which shows that company try get legitimacy from stakeholders interest through appropriate practice norm social . With report </w:t>
      </w:r>
      <w:proofErr w:type="gramStart"/>
      <w:r>
        <w:t>sustainability ,</w:t>
      </w:r>
      <w:proofErr w:type="gramEnd"/>
      <w:r>
        <w:t xml:space="preserve"> Commitment social And transparency strengthen image positive , whereas avoidance tax aggressive damage legitimacy Because rated No ethical .</w:t>
      </w:r>
    </w:p>
    <w:p w:rsidR="00FA6AE2" w:rsidRPr="00441EFB" w:rsidRDefault="00441EFB" w:rsidP="007D471B">
      <w:pPr>
        <w:pStyle w:val="maintextFAITH"/>
        <w:spacing w:line="360" w:lineRule="auto"/>
      </w:pPr>
      <w:proofErr w:type="gramStart"/>
      <w:r>
        <w:t>H3 :</w:t>
      </w:r>
      <w:proofErr w:type="gramEnd"/>
      <w:r>
        <w:t xml:space="preserve"> Reporting sustainability influential to avoidance tax</w:t>
      </w:r>
    </w:p>
    <w:p w:rsidR="00CA4AC7" w:rsidRPr="00453302" w:rsidRDefault="00CA4AC7" w:rsidP="007D471B">
      <w:pPr>
        <w:spacing w:line="360" w:lineRule="auto"/>
        <w:ind w:left="2610"/>
        <w:rPr>
          <w:rFonts w:eastAsia="Calibri"/>
          <w:noProof w:val="0"/>
          <w:szCs w:val="22"/>
          <w:lang w:eastAsia="en-US"/>
        </w:rPr>
      </w:pPr>
      <w:r>
        <w:rPr>
          <w:rFonts w:eastAsia="Calibri"/>
          <w:noProof w:val="0"/>
          <w:szCs w:val="22"/>
          <w:lang w:eastAsia="en-US"/>
        </w:rPr>
        <w:t xml:space="preserve">3.4 </w:t>
      </w:r>
      <w:r w:rsidR="00441EFB" w:rsidRPr="00441EFB">
        <w:rPr>
          <w:rFonts w:eastAsia="Calibri"/>
          <w:noProof w:val="0"/>
          <w:szCs w:val="22"/>
          <w:lang w:eastAsia="en-US"/>
        </w:rPr>
        <w:t>Influence Connection Political To Avoidance Tax</w:t>
      </w:r>
    </w:p>
    <w:p w:rsidR="00441EFB" w:rsidRDefault="00441EFB" w:rsidP="007D471B">
      <w:pPr>
        <w:pStyle w:val="maintextFAITH"/>
        <w:spacing w:line="360" w:lineRule="auto"/>
      </w:pPr>
      <w:r>
        <w:t xml:space="preserve">Connection political can give company access to policy profitable </w:t>
      </w:r>
      <w:proofErr w:type="gramStart"/>
      <w:r>
        <w:t>taxation .</w:t>
      </w:r>
      <w:proofErr w:type="gramEnd"/>
      <w:r>
        <w:t xml:space="preserve"> Companies with connection strong politics Possible more tend For involved in practice avoidance tax , because they can </w:t>
      </w:r>
      <w:proofErr w:type="spellStart"/>
      <w:r>
        <w:t>utilise</w:t>
      </w:r>
      <w:proofErr w:type="spellEnd"/>
      <w:r>
        <w:t xml:space="preserve"> connection the For to obtain treatment more taxes profitable . Research show that connection near with official government can increase avoidance tax (</w:t>
      </w:r>
      <w:proofErr w:type="spellStart"/>
      <w:r>
        <w:t>Fitiasari</w:t>
      </w:r>
      <w:proofErr w:type="spellEnd"/>
      <w:r>
        <w:t xml:space="preserve"> &amp; </w:t>
      </w:r>
      <w:proofErr w:type="spellStart"/>
      <w:r>
        <w:t>Suwandi</w:t>
      </w:r>
      <w:proofErr w:type="spellEnd"/>
      <w:r>
        <w:t>, 2020</w:t>
      </w:r>
      <w:proofErr w:type="gramStart"/>
      <w:r>
        <w:t>) .</w:t>
      </w:r>
      <w:proofErr w:type="gramEnd"/>
    </w:p>
    <w:p w:rsidR="00441EFB" w:rsidRDefault="00441EFB" w:rsidP="007D471B">
      <w:pPr>
        <w:pStyle w:val="maintextFAITH"/>
        <w:spacing w:line="360" w:lineRule="auto"/>
      </w:pPr>
      <w:r>
        <w:t xml:space="preserve">Connection political influential to avoidance tax in Interest Group </w:t>
      </w:r>
      <w:proofErr w:type="gramStart"/>
      <w:r>
        <w:t>Theory ,</w:t>
      </w:r>
      <w:proofErr w:type="gramEnd"/>
      <w:r>
        <w:t xml:space="preserve"> which explains How group with interest certain influence policy company . Connection strong politics can push company do avoidance tax in a way aggressive through profitable </w:t>
      </w:r>
      <w:proofErr w:type="gramStart"/>
      <w:r>
        <w:t>policies .</w:t>
      </w:r>
      <w:proofErr w:type="gramEnd"/>
      <w:r>
        <w:t xml:space="preserve"> On the other </w:t>
      </w:r>
      <w:proofErr w:type="gramStart"/>
      <w:r>
        <w:t>hand ,</w:t>
      </w:r>
      <w:proofErr w:type="gramEnd"/>
      <w:r>
        <w:t xml:space="preserve"> the group supporting interests transparency can press company For reduce avoidance tax to remain ethical And in accordance regulation .</w:t>
      </w:r>
    </w:p>
    <w:p w:rsidR="00441EFB" w:rsidRPr="00441EFB" w:rsidRDefault="00441EFB" w:rsidP="007D471B">
      <w:pPr>
        <w:pStyle w:val="maintextFAITH"/>
        <w:spacing w:line="360" w:lineRule="auto"/>
      </w:pPr>
      <w:proofErr w:type="gramStart"/>
      <w:r>
        <w:lastRenderedPageBreak/>
        <w:t>H4 :</w:t>
      </w:r>
      <w:proofErr w:type="gramEnd"/>
      <w:r>
        <w:t xml:space="preserve"> Connection political influential to avoidance tax</w:t>
      </w:r>
    </w:p>
    <w:p w:rsidR="00CA4AC7" w:rsidRPr="00453302" w:rsidRDefault="00CA4AC7" w:rsidP="007D471B">
      <w:pPr>
        <w:spacing w:line="360" w:lineRule="auto"/>
        <w:ind w:left="2610"/>
        <w:rPr>
          <w:rFonts w:eastAsia="Calibri"/>
          <w:noProof w:val="0"/>
          <w:szCs w:val="22"/>
          <w:lang w:eastAsia="en-US"/>
        </w:rPr>
      </w:pPr>
      <w:r>
        <w:rPr>
          <w:rFonts w:eastAsia="Calibri"/>
          <w:noProof w:val="0"/>
          <w:szCs w:val="22"/>
          <w:lang w:eastAsia="en-US"/>
        </w:rPr>
        <w:t xml:space="preserve">3.5 </w:t>
      </w:r>
      <w:r w:rsidR="00441EFB" w:rsidRPr="00441EFB">
        <w:rPr>
          <w:rFonts w:eastAsia="Calibri"/>
          <w:noProof w:val="0"/>
          <w:szCs w:val="22"/>
          <w:lang w:eastAsia="en-US"/>
        </w:rPr>
        <w:t xml:space="preserve">Influence Commissioner </w:t>
      </w:r>
      <w:proofErr w:type="gramStart"/>
      <w:r w:rsidR="00441EFB" w:rsidRPr="00441EFB">
        <w:rPr>
          <w:rFonts w:eastAsia="Calibri"/>
          <w:noProof w:val="0"/>
          <w:szCs w:val="22"/>
          <w:lang w:eastAsia="en-US"/>
        </w:rPr>
        <w:t>Independent ,</w:t>
      </w:r>
      <w:proofErr w:type="gramEnd"/>
      <w:r w:rsidR="00441EFB" w:rsidRPr="00441EFB">
        <w:rPr>
          <w:rFonts w:eastAsia="Calibri"/>
          <w:noProof w:val="0"/>
          <w:szCs w:val="22"/>
          <w:lang w:eastAsia="en-US"/>
        </w:rPr>
        <w:t xml:space="preserve"> Audit Committee , Reporting Sustainability And Connection Political To Avoidance Tax</w:t>
      </w:r>
    </w:p>
    <w:p w:rsidR="00441EFB" w:rsidRDefault="00441EFB" w:rsidP="007D471B">
      <w:pPr>
        <w:pStyle w:val="maintextFAITH"/>
        <w:spacing w:line="360" w:lineRule="auto"/>
      </w:pPr>
      <w:r>
        <w:t xml:space="preserve">Hypothesis This covers analysis simultaneous from all variable </w:t>
      </w:r>
      <w:proofErr w:type="gramStart"/>
      <w:r>
        <w:t>Independently .</w:t>
      </w:r>
      <w:proofErr w:type="gramEnd"/>
      <w:r>
        <w:t xml:space="preserve"> In simultaneous can each other </w:t>
      </w:r>
      <w:proofErr w:type="gramStart"/>
      <w:r>
        <w:t>influence ,</w:t>
      </w:r>
      <w:proofErr w:type="gramEnd"/>
      <w:r>
        <w:t xml:space="preserve"> create complex corporate governance environment that has the potential influence avoidance tax . Research previously Factors This support compliance tax </w:t>
      </w:r>
      <w:proofErr w:type="gramStart"/>
      <w:r>
        <w:t>company ,</w:t>
      </w:r>
      <w:proofErr w:type="gramEnd"/>
      <w:r>
        <w:t xml:space="preserve"> with supervision And good transparency reduce avoidance tax . (</w:t>
      </w:r>
      <w:proofErr w:type="spellStart"/>
      <w:r>
        <w:t>Murtina</w:t>
      </w:r>
      <w:proofErr w:type="spellEnd"/>
      <w:r>
        <w:t xml:space="preserve"> et al., 2022</w:t>
      </w:r>
      <w:proofErr w:type="gramStart"/>
      <w:r>
        <w:t>) .</w:t>
      </w:r>
      <w:proofErr w:type="gramEnd"/>
    </w:p>
    <w:p w:rsidR="00441EFB" w:rsidRDefault="00441EFB" w:rsidP="007D471B">
      <w:pPr>
        <w:pStyle w:val="maintextFAITH"/>
        <w:spacing w:line="360" w:lineRule="auto"/>
      </w:pPr>
      <w:r>
        <w:tab/>
        <w:t xml:space="preserve">In Agency </w:t>
      </w:r>
      <w:proofErr w:type="gramStart"/>
      <w:r>
        <w:t>Theory ,</w:t>
      </w:r>
      <w:proofErr w:type="gramEnd"/>
      <w:r>
        <w:t xml:space="preserve"> Commissioner independent And audit committee oversees management to comply rule And transparent in reporting sustainability , so that press avoidance tax aggressive . Connection political participate influence decision </w:t>
      </w:r>
      <w:proofErr w:type="gramStart"/>
      <w:r>
        <w:t>tax ,</w:t>
      </w:r>
      <w:proofErr w:type="gramEnd"/>
      <w:r>
        <w:t xml:space="preserve"> because pressure from stakeholders interest make company more be careful .</w:t>
      </w:r>
    </w:p>
    <w:p w:rsidR="00CA4AC7" w:rsidRPr="00441EFB" w:rsidRDefault="00441EFB" w:rsidP="007D471B">
      <w:pPr>
        <w:pStyle w:val="maintextFAITH"/>
        <w:spacing w:line="360" w:lineRule="auto"/>
      </w:pPr>
      <w:proofErr w:type="gramStart"/>
      <w:r>
        <w:t>H5 :</w:t>
      </w:r>
      <w:proofErr w:type="gramEnd"/>
      <w:r>
        <w:t xml:space="preserve"> Commissioner independent , audit committee , reporting sustainability And connection political influential to avoidance tax</w:t>
      </w:r>
    </w:p>
    <w:p w:rsidR="00CA4AC7" w:rsidRPr="006E2A5A" w:rsidRDefault="00CA4AC7" w:rsidP="007D471B">
      <w:pPr>
        <w:pStyle w:val="maintextFAITH"/>
        <w:spacing w:line="360" w:lineRule="auto"/>
        <w:rPr>
          <w:lang w:val="id"/>
        </w:rPr>
      </w:pPr>
    </w:p>
    <w:p w:rsidR="00CA4AC7" w:rsidRDefault="00CA4AC7" w:rsidP="007D471B">
      <w:pPr>
        <w:pStyle w:val="heading1FAITH"/>
        <w:numPr>
          <w:ilvl w:val="0"/>
          <w:numId w:val="12"/>
        </w:numPr>
        <w:spacing w:before="0" w:after="0" w:line="360" w:lineRule="auto"/>
        <w:rPr>
          <w:sz w:val="22"/>
          <w:lang w:eastAsia="zh-CN"/>
        </w:rPr>
      </w:pPr>
      <w:r w:rsidRPr="006E2A5A">
        <w:rPr>
          <w:sz w:val="22"/>
          <w:lang w:eastAsia="zh-CN"/>
        </w:rPr>
        <w:t xml:space="preserve">Research </w:t>
      </w:r>
      <w:r w:rsidR="00441EFB" w:rsidRPr="00441EFB">
        <w:rPr>
          <w:sz w:val="22"/>
          <w:lang w:eastAsia="zh-CN"/>
        </w:rPr>
        <w:t>Methods</w:t>
      </w:r>
    </w:p>
    <w:p w:rsidR="00441EFB" w:rsidRDefault="00441EFB" w:rsidP="007D471B">
      <w:pPr>
        <w:pStyle w:val="maintextFAITH"/>
        <w:spacing w:line="360" w:lineRule="auto"/>
      </w:pPr>
      <w:r>
        <w:t xml:space="preserve">Study quantitative This analyze influence variable independent </w:t>
      </w:r>
      <w:proofErr w:type="spellStart"/>
      <w:r>
        <w:t>to</w:t>
      </w:r>
      <w:proofErr w:type="spellEnd"/>
      <w:r>
        <w:t xml:space="preserve"> dependent in a way partial And simultaneous on company sector Properties and Real Estate on the IDX in 2021–2023, using panel data regression and analysis descriptive And inferential .</w:t>
      </w:r>
    </w:p>
    <w:p w:rsidR="00441EFB" w:rsidRDefault="00441EFB" w:rsidP="007D471B">
      <w:pPr>
        <w:pStyle w:val="maintextFAITH"/>
        <w:spacing w:line="360" w:lineRule="auto"/>
        <w:jc w:val="center"/>
      </w:pPr>
      <w:r w:rsidRPr="00441EFB">
        <w:rPr>
          <w:b/>
          <w:bCs/>
        </w:rPr>
        <w:t>Table. 1</w:t>
      </w:r>
      <w:r>
        <w:t xml:space="preserve"> Criteria Sample</w:t>
      </w:r>
    </w:p>
    <w:p w:rsidR="00441EFB" w:rsidRDefault="00441EFB" w:rsidP="007D471B">
      <w:pPr>
        <w:pStyle w:val="maintextFAITH"/>
        <w:spacing w:line="360" w:lineRule="auto"/>
        <w:ind w:firstLine="2"/>
      </w:pPr>
      <w:r w:rsidRPr="009659FF">
        <w:rPr>
          <w:noProof/>
          <w:lang w:eastAsia="en-US" w:bidi="ar-SA"/>
        </w:rPr>
        <w:drawing>
          <wp:inline distT="0" distB="0" distL="0" distR="0" wp14:anchorId="423D7174" wp14:editId="4A36466F">
            <wp:extent cx="4943475" cy="182879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31070" cy="186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EFB" w:rsidRDefault="00441EFB" w:rsidP="007D471B">
      <w:pPr>
        <w:pStyle w:val="maintextFAITH"/>
        <w:spacing w:line="360" w:lineRule="auto"/>
      </w:pPr>
      <w:r>
        <w:t xml:space="preserve">Sample use purposive sampling method and secondary </w:t>
      </w:r>
      <w:proofErr w:type="gramStart"/>
      <w:r>
        <w:t>data ,</w:t>
      </w:r>
      <w:proofErr w:type="gramEnd"/>
      <w:r>
        <w:t xml:space="preserve"> finance reports, sustainability reports , and tax databases were taken from site official BEI. Data collected through download report finance And sustainability company </w:t>
      </w:r>
      <w:proofErr w:type="gramStart"/>
      <w:r>
        <w:t>sample .</w:t>
      </w:r>
      <w:proofErr w:type="gramEnd"/>
      <w:r>
        <w:t xml:space="preserve"> Variables in study This defined And measured in a way </w:t>
      </w:r>
      <w:proofErr w:type="gramStart"/>
      <w:r>
        <w:t>operational .</w:t>
      </w:r>
      <w:proofErr w:type="gramEnd"/>
    </w:p>
    <w:p w:rsidR="00441EFB" w:rsidRDefault="00441EFB" w:rsidP="007D471B">
      <w:pPr>
        <w:pStyle w:val="maintextFAITH"/>
        <w:spacing w:line="360" w:lineRule="auto"/>
        <w:jc w:val="center"/>
      </w:pPr>
      <w:r w:rsidRPr="00441EFB">
        <w:rPr>
          <w:b/>
          <w:bCs/>
        </w:rPr>
        <w:t>Table 2.</w:t>
      </w:r>
      <w:r>
        <w:t xml:space="preserve"> Definitions Operational Variables</w:t>
      </w:r>
    </w:p>
    <w:tbl>
      <w:tblPr>
        <w:tblStyle w:val="TableGrid"/>
        <w:tblW w:w="7740" w:type="dxa"/>
        <w:tblInd w:w="2695" w:type="dxa"/>
        <w:tblLayout w:type="fixed"/>
        <w:tblLook w:val="04A0" w:firstRow="1" w:lastRow="0" w:firstColumn="1" w:lastColumn="0" w:noHBand="0" w:noVBand="1"/>
      </w:tblPr>
      <w:tblGrid>
        <w:gridCol w:w="1450"/>
        <w:gridCol w:w="1970"/>
        <w:gridCol w:w="3635"/>
        <w:gridCol w:w="685"/>
      </w:tblGrid>
      <w:tr w:rsidR="008D1B35" w:rsidRPr="008353B4" w:rsidTr="008D1B35">
        <w:trPr>
          <w:trHeight w:val="258"/>
          <w:tblHeader/>
        </w:trPr>
        <w:tc>
          <w:tcPr>
            <w:tcW w:w="1450" w:type="dxa"/>
            <w:vAlign w:val="center"/>
          </w:tcPr>
          <w:p w:rsidR="008D1B35" w:rsidRPr="008353B4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8353B4">
              <w:rPr>
                <w:sz w:val="20"/>
              </w:rPr>
              <w:t>Variables</w:t>
            </w:r>
          </w:p>
        </w:tc>
        <w:tc>
          <w:tcPr>
            <w:tcW w:w="1970" w:type="dxa"/>
            <w:vAlign w:val="center"/>
          </w:tcPr>
          <w:p w:rsidR="008D1B35" w:rsidRPr="008353B4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8353B4">
              <w:rPr>
                <w:sz w:val="20"/>
              </w:rPr>
              <w:t>Definition</w:t>
            </w:r>
          </w:p>
        </w:tc>
        <w:tc>
          <w:tcPr>
            <w:tcW w:w="3635" w:type="dxa"/>
            <w:vAlign w:val="center"/>
          </w:tcPr>
          <w:p w:rsidR="008D1B35" w:rsidRPr="008353B4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8353B4">
              <w:rPr>
                <w:sz w:val="20"/>
              </w:rPr>
              <w:t>Indicator</w:t>
            </w:r>
          </w:p>
        </w:tc>
        <w:tc>
          <w:tcPr>
            <w:tcW w:w="685" w:type="dxa"/>
            <w:vAlign w:val="center"/>
          </w:tcPr>
          <w:p w:rsidR="008D1B35" w:rsidRPr="008353B4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8353B4">
              <w:rPr>
                <w:sz w:val="20"/>
              </w:rPr>
              <w:t>Scale</w:t>
            </w:r>
          </w:p>
        </w:tc>
      </w:tr>
      <w:tr w:rsidR="008D1B35" w:rsidRPr="008353B4" w:rsidTr="008D1B35">
        <w:tc>
          <w:tcPr>
            <w:tcW w:w="1450" w:type="dxa"/>
          </w:tcPr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8353B4">
              <w:rPr>
                <w:sz w:val="20"/>
              </w:rPr>
              <w:t>Commissioner Independent (X1)</w:t>
            </w:r>
          </w:p>
        </w:tc>
        <w:tc>
          <w:tcPr>
            <w:tcW w:w="1970" w:type="dxa"/>
          </w:tcPr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1045EF">
              <w:rPr>
                <w:sz w:val="20"/>
              </w:rPr>
              <w:t xml:space="preserve">Commissioner independent is member board commissioner who does not own </w:t>
            </w:r>
            <w:r w:rsidRPr="001045EF">
              <w:rPr>
                <w:sz w:val="20"/>
              </w:rPr>
              <w:lastRenderedPageBreak/>
              <w:t xml:space="preserve">connection Sig 's affiliation with company , holder share main , or member council . </w:t>
            </w:r>
            <w:r w:rsidRPr="00591356">
              <w:rPr>
                <w:sz w:val="20"/>
              </w:rPr>
              <w:t>others . (Hasan, 2015)</w:t>
            </w:r>
          </w:p>
        </w:tc>
        <w:tc>
          <w:tcPr>
            <w:tcW w:w="3635" w:type="dxa"/>
          </w:tcPr>
          <w:p w:rsidR="008D1B35" w:rsidRPr="008353B4" w:rsidRDefault="008D1B35" w:rsidP="007D471B">
            <w:pPr>
              <w:spacing w:line="240" w:lineRule="auto"/>
              <w:ind w:right="-10"/>
              <w:jc w:val="left"/>
              <w:rPr>
                <w:sz w:val="20"/>
                <w:u w:val="single"/>
              </w:rPr>
            </w:pPr>
          </w:p>
          <w:p w:rsidR="008D1B35" w:rsidRPr="008353B4" w:rsidRDefault="008D1B35" w:rsidP="007D471B">
            <w:pPr>
              <w:spacing w:line="240" w:lineRule="auto"/>
              <w:rPr>
                <w:iCs/>
                <w:sz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</w:rPr>
                      <m:t>Jml Komisaris Independen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</w:rPr>
                      <m:t>Ttl anggota dewan Komisaris</m:t>
                    </m:r>
                  </m:den>
                </m:f>
                <m:r>
                  <m:rPr>
                    <m:sty m:val="b"/>
                  </m:rPr>
                  <w:rPr>
                    <w:rFonts w:ascii="Cambria Math" w:hAnsi="Cambria Math"/>
                    <w:sz w:val="20"/>
                  </w:rPr>
                  <m:t xml:space="preserve"> x 100%</m:t>
                </m:r>
              </m:oMath>
            </m:oMathPara>
          </w:p>
          <w:p w:rsidR="008D1B35" w:rsidRPr="008353B4" w:rsidRDefault="008D1B35" w:rsidP="007D471B">
            <w:pPr>
              <w:spacing w:line="240" w:lineRule="auto"/>
              <w:ind w:right="-10"/>
              <w:jc w:val="left"/>
              <w:rPr>
                <w:sz w:val="20"/>
                <w:u w:val="single"/>
              </w:rPr>
            </w:pPr>
          </w:p>
        </w:tc>
        <w:tc>
          <w:tcPr>
            <w:tcW w:w="685" w:type="dxa"/>
          </w:tcPr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</w:p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8353B4">
              <w:rPr>
                <w:sz w:val="20"/>
              </w:rPr>
              <w:t>Ratio</w:t>
            </w:r>
          </w:p>
        </w:tc>
      </w:tr>
      <w:tr w:rsidR="008D1B35" w:rsidRPr="008353B4" w:rsidTr="008D1B35">
        <w:tc>
          <w:tcPr>
            <w:tcW w:w="1450" w:type="dxa"/>
          </w:tcPr>
          <w:p w:rsidR="008D1B35" w:rsidRPr="008353B4" w:rsidRDefault="008D1B35" w:rsidP="007D471B">
            <w:pPr>
              <w:spacing w:line="240" w:lineRule="auto"/>
              <w:ind w:right="-10"/>
              <w:jc w:val="left"/>
              <w:rPr>
                <w:sz w:val="20"/>
              </w:rPr>
            </w:pPr>
            <w:r w:rsidRPr="008353B4">
              <w:rPr>
                <w:sz w:val="20"/>
              </w:rPr>
              <w:t>Committee (X2)</w:t>
            </w:r>
          </w:p>
        </w:tc>
        <w:tc>
          <w:tcPr>
            <w:tcW w:w="1970" w:type="dxa"/>
          </w:tcPr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  <w:lang w:val="en-ID"/>
              </w:rPr>
            </w:pPr>
            <w:r w:rsidRPr="00AC7DCF">
              <w:rPr>
                <w:sz w:val="20"/>
              </w:rPr>
              <w:t>audit committee is group from board supervising commissioner</w:t>
            </w:r>
            <w:r w:rsidRPr="00AC7DCF">
              <w:rPr>
                <w:rFonts w:ascii="Times New Roman" w:hAnsi="Times New Roman"/>
                <w:sz w:val="20"/>
              </w:rPr>
              <w:t>​</w:t>
            </w:r>
            <w:r w:rsidRPr="00AC7DCF">
              <w:rPr>
                <w:sz w:val="20"/>
              </w:rPr>
              <w:t xml:space="preserve"> reporting finance , audit, and compliance to regulation . </w:t>
            </w:r>
            <w:r w:rsidRPr="00591356">
              <w:rPr>
                <w:sz w:val="20"/>
                <w:lang w:val="en-ID"/>
              </w:rPr>
              <w:t xml:space="preserve">( </w:t>
            </w:r>
            <w:r w:rsidRPr="00591356">
              <w:rPr>
                <w:sz w:val="20"/>
              </w:rPr>
              <w:t>Suhardjanto &amp; Supriyadi , 2017)</w:t>
            </w:r>
          </w:p>
        </w:tc>
        <w:tc>
          <w:tcPr>
            <w:tcW w:w="3635" w:type="dxa"/>
          </w:tcPr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</w:p>
          <w:p w:rsidR="008D1B35" w:rsidRPr="008353B4" w:rsidRDefault="008D1B35" w:rsidP="007D471B">
            <w:pPr>
              <w:spacing w:line="240" w:lineRule="auto"/>
              <w:ind w:right="-10"/>
              <w:rPr>
                <w:iCs/>
                <w:sz w:val="20"/>
              </w:rPr>
            </w:pPr>
            <m:oMathPara>
              <m:oMathParaPr>
                <m:jc m:val="center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sz w:val="20"/>
                  </w:rPr>
                  <m:t>=</m:t>
                </m:r>
                <m:nary>
                  <m:naryPr>
                    <m:chr m:val="∑"/>
                    <m:limLoc m:val="undOvr"/>
                    <m:subHide m:val="1"/>
                    <m:supHide m:val="1"/>
                    <m:ctrlPr>
                      <w:rPr>
                        <w:rFonts w:ascii="Cambria Math" w:hAnsi="Cambria Math"/>
                        <w:sz w:val="20"/>
                      </w:rPr>
                    </m:ctrlPr>
                  </m:naryPr>
                  <m:sub/>
                  <m:sup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0"/>
                      </w:rPr>
                      <m:t>Komite Audit</m:t>
                    </m:r>
                  </m:e>
                </m:nary>
                <m:r>
                  <m:rPr>
                    <m:sty m:val="b"/>
                  </m:rPr>
                  <w:rPr>
                    <w:rFonts w:ascii="Cambria Math" w:hAnsi="Cambria Math"/>
                    <w:sz w:val="20"/>
                  </w:rPr>
                  <m:t xml:space="preserve"> </m:t>
                </m:r>
              </m:oMath>
            </m:oMathPara>
          </w:p>
          <w:p w:rsidR="008D1B35" w:rsidRPr="008353B4" w:rsidRDefault="008D1B35" w:rsidP="007D471B">
            <w:pPr>
              <w:spacing w:line="240" w:lineRule="auto"/>
              <w:ind w:right="-10"/>
              <w:rPr>
                <w:iCs/>
                <w:sz w:val="20"/>
              </w:rPr>
            </w:pPr>
          </w:p>
        </w:tc>
        <w:tc>
          <w:tcPr>
            <w:tcW w:w="685" w:type="dxa"/>
          </w:tcPr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</w:p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8353B4">
              <w:rPr>
                <w:sz w:val="20"/>
              </w:rPr>
              <w:t>Nominal</w:t>
            </w:r>
          </w:p>
        </w:tc>
      </w:tr>
      <w:tr w:rsidR="008D1B35" w:rsidRPr="008353B4" w:rsidTr="008D1B35">
        <w:tc>
          <w:tcPr>
            <w:tcW w:w="1450" w:type="dxa"/>
          </w:tcPr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8353B4">
              <w:rPr>
                <w:sz w:val="20"/>
              </w:rPr>
              <w:t>Reporting Sustainability (X3)</w:t>
            </w:r>
          </w:p>
        </w:tc>
        <w:tc>
          <w:tcPr>
            <w:tcW w:w="1970" w:type="dxa"/>
          </w:tcPr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122CC6">
              <w:rPr>
                <w:sz w:val="20"/>
              </w:rPr>
              <w:t>Reporting sustainability is the process of delivery information about performance And impact company in aspect social , environmental , and economy . (Sari, 2018)</w:t>
            </w:r>
          </w:p>
        </w:tc>
        <w:tc>
          <w:tcPr>
            <w:tcW w:w="3635" w:type="dxa"/>
          </w:tcPr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</w:p>
          <w:p w:rsidR="008D1B35" w:rsidRPr="008353B4" w:rsidRDefault="008D1B35" w:rsidP="007D471B">
            <w:pPr>
              <w:spacing w:line="240" w:lineRule="auto"/>
              <w:ind w:right="-10"/>
              <w:jc w:val="center"/>
              <w:rPr>
                <w:iCs/>
                <w:sz w:val="20"/>
              </w:rPr>
            </w:pPr>
            <m:oMath>
              <m:r>
                <m:rPr>
                  <m:sty m:val="bi"/>
                </m:rPr>
                <w:rPr>
                  <w:rFonts w:ascii="Cambria Math" w:hAnsi="Cambria Math"/>
                  <w:sz w:val="20"/>
                </w:rPr>
                <m:t>=</m:t>
              </m:r>
            </m:oMath>
            <w:r w:rsidRPr="008353B4">
              <w:rPr>
                <w:iCs/>
                <w:sz w:val="20"/>
              </w:rPr>
              <w:t>Sustainability Disclosure</w:t>
            </w:r>
          </w:p>
          <w:p w:rsidR="008D1B35" w:rsidRPr="008353B4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8353B4">
              <w:rPr>
                <w:iCs/>
                <w:sz w:val="20"/>
              </w:rPr>
              <w:t>Index (SDI)</w:t>
            </w:r>
          </w:p>
        </w:tc>
        <w:tc>
          <w:tcPr>
            <w:tcW w:w="685" w:type="dxa"/>
          </w:tcPr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</w:p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8353B4">
              <w:rPr>
                <w:sz w:val="20"/>
              </w:rPr>
              <w:t>Ordinal</w:t>
            </w:r>
          </w:p>
        </w:tc>
      </w:tr>
      <w:tr w:rsidR="008D1B35" w:rsidRPr="008353B4" w:rsidTr="008D1B35">
        <w:tc>
          <w:tcPr>
            <w:tcW w:w="1450" w:type="dxa"/>
          </w:tcPr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8353B4">
              <w:rPr>
                <w:sz w:val="20"/>
              </w:rPr>
              <w:t>Connection Politics (X4)</w:t>
            </w:r>
          </w:p>
        </w:tc>
        <w:tc>
          <w:tcPr>
            <w:tcW w:w="1970" w:type="dxa"/>
          </w:tcPr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122CC6">
              <w:rPr>
                <w:sz w:val="20"/>
              </w:rPr>
              <w:t>Connection political is connection or the network that was built between individual or group with actor politics , which can influence decision And policy public . (Nugroho, 2016)</w:t>
            </w:r>
          </w:p>
        </w:tc>
        <w:tc>
          <w:tcPr>
            <w:tcW w:w="3635" w:type="dxa"/>
          </w:tcPr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</w:p>
          <w:p w:rsidR="008D1B35" w:rsidRPr="008353B4" w:rsidRDefault="008D1B35" w:rsidP="007D471B">
            <w:pPr>
              <w:spacing w:line="240" w:lineRule="auto"/>
              <w:ind w:right="-10"/>
              <w:rPr>
                <w:iCs/>
                <w:sz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0"/>
                  </w:rPr>
                  <m:t xml:space="preserve">=Jml anggota dewan </m:t>
                </m:r>
              </m:oMath>
            </m:oMathPara>
          </w:p>
          <w:p w:rsidR="008D1B35" w:rsidRPr="008353B4" w:rsidRDefault="008D1B35" w:rsidP="007D471B">
            <w:pPr>
              <w:spacing w:line="240" w:lineRule="auto"/>
              <w:ind w:right="-10"/>
              <w:rPr>
                <w:iCs/>
                <w:sz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0"/>
                  </w:rPr>
                  <m:t>dengan Hubungan Politik</m:t>
                </m:r>
              </m:oMath>
            </m:oMathPara>
          </w:p>
        </w:tc>
        <w:tc>
          <w:tcPr>
            <w:tcW w:w="685" w:type="dxa"/>
          </w:tcPr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</w:p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8353B4">
              <w:rPr>
                <w:sz w:val="20"/>
              </w:rPr>
              <w:t>Nominal</w:t>
            </w:r>
          </w:p>
        </w:tc>
      </w:tr>
      <w:tr w:rsidR="008D1B35" w:rsidRPr="008353B4" w:rsidTr="008D1B35">
        <w:tc>
          <w:tcPr>
            <w:tcW w:w="1450" w:type="dxa"/>
          </w:tcPr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8353B4">
              <w:rPr>
                <w:sz w:val="20"/>
              </w:rPr>
              <w:t>Avoidance Tax (Y)</w:t>
            </w:r>
          </w:p>
        </w:tc>
        <w:tc>
          <w:tcPr>
            <w:tcW w:w="1970" w:type="dxa"/>
          </w:tcPr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>
              <w:rPr>
                <w:sz w:val="20"/>
              </w:rPr>
              <w:t>Avoidance tax is effort individual or company For press obligation tax they</w:t>
            </w:r>
            <w:r w:rsidRPr="002B55D1">
              <w:rPr>
                <w:sz w:val="20"/>
              </w:rPr>
              <w:t xml:space="preserve"> with use legitimate method</w:t>
            </w:r>
            <w:r w:rsidRPr="002B55D1">
              <w:rPr>
                <w:rFonts w:ascii="Times New Roman" w:hAnsi="Times New Roman"/>
                <w:sz w:val="20"/>
              </w:rPr>
              <w:t>​</w:t>
            </w:r>
            <w:r w:rsidRPr="002B55D1">
              <w:rPr>
                <w:sz w:val="20"/>
              </w:rPr>
              <w:t xml:space="preserve"> in a way law </w:t>
            </w:r>
            <w:r>
              <w:rPr>
                <w:sz w:val="20"/>
              </w:rPr>
              <w:t xml:space="preserve">( </w:t>
            </w:r>
            <w:r w:rsidRPr="00122CC6">
              <w:rPr>
                <w:sz w:val="20"/>
              </w:rPr>
              <w:t>Sujoko , 2017)</w:t>
            </w:r>
          </w:p>
        </w:tc>
        <w:tc>
          <w:tcPr>
            <w:tcW w:w="3635" w:type="dxa"/>
          </w:tcPr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</w:p>
          <w:p w:rsidR="008D1B35" w:rsidRPr="008353B4" w:rsidRDefault="008D1B35" w:rsidP="007D471B">
            <w:pPr>
              <w:spacing w:line="240" w:lineRule="auto"/>
              <w:ind w:right="-10"/>
              <w:rPr>
                <w:iCs/>
                <w:sz w:val="20"/>
              </w:rPr>
            </w:pPr>
            <m:oMathPara>
              <m:oMath>
                <m:r>
                  <m:rPr>
                    <m:sty m:val="b"/>
                  </m:rPr>
                  <w:rPr>
                    <w:rFonts w:ascii="Cambria Math" w:hAnsi="Cambria Math"/>
                    <w:sz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Cs/>
                        <w:sz w:val="20"/>
                      </w:rPr>
                    </m:ctrlPr>
                  </m:fPr>
                  <m:num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</w:rPr>
                      <m:t>Beban Pajak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0"/>
                      </w:rPr>
                      <m:t>Laba Sebelum Pajak</m:t>
                    </m:r>
                  </m:den>
                </m:f>
              </m:oMath>
            </m:oMathPara>
          </w:p>
          <w:p w:rsidR="008D1B35" w:rsidRPr="008353B4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</w:p>
        </w:tc>
        <w:tc>
          <w:tcPr>
            <w:tcW w:w="685" w:type="dxa"/>
          </w:tcPr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</w:p>
          <w:p w:rsidR="008D1B35" w:rsidRPr="008353B4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8353B4">
              <w:rPr>
                <w:sz w:val="20"/>
              </w:rPr>
              <w:t>Ratio</w:t>
            </w:r>
          </w:p>
        </w:tc>
      </w:tr>
    </w:tbl>
    <w:p w:rsidR="00441EFB" w:rsidRDefault="00441EFB" w:rsidP="007D471B">
      <w:pPr>
        <w:pStyle w:val="maintextFAITH"/>
        <w:spacing w:line="360" w:lineRule="auto"/>
      </w:pPr>
      <w:r>
        <w:t xml:space="preserve">Data analysis using multiple linear </w:t>
      </w:r>
      <w:proofErr w:type="gramStart"/>
      <w:r>
        <w:t>regression ,</w:t>
      </w:r>
      <w:proofErr w:type="gramEnd"/>
      <w:r>
        <w:t xml:space="preserve"> with T test for see influence each variable independent And F test for measure influence combination to avoidance tax . The regression model formulated as </w:t>
      </w:r>
      <w:proofErr w:type="gramStart"/>
      <w:r>
        <w:t>following :</w:t>
      </w:r>
      <w:proofErr w:type="gramEnd"/>
    </w:p>
    <w:p w:rsidR="00441EFB" w:rsidRDefault="00441EFB" w:rsidP="007D471B">
      <w:pPr>
        <w:pStyle w:val="maintextFAITH"/>
        <w:spacing w:line="360" w:lineRule="auto"/>
      </w:pPr>
      <w:r>
        <w:t>Y=β0+β1X1+β2X2+β3X3+β4X4+</w:t>
      </w:r>
      <w:r>
        <w:rPr>
          <w:rFonts w:ascii="Cambria" w:hAnsi="Cambria" w:cs="Cambria"/>
        </w:rPr>
        <w:t>ϵ</w:t>
      </w:r>
      <w:r>
        <w:t>Y</w:t>
      </w:r>
    </w:p>
    <w:p w:rsidR="00441EFB" w:rsidRDefault="00441EFB" w:rsidP="007D471B">
      <w:pPr>
        <w:pStyle w:val="maintextFAITH"/>
        <w:spacing w:line="360" w:lineRule="auto"/>
      </w:pPr>
      <w:r>
        <w:t xml:space="preserve">where Y is avoidance tax , X1,X2,X3,X4 is variable independent , β0 is constants , β1,β2,β3,β4 are coefficient regression , and </w:t>
      </w:r>
      <w:r>
        <w:rPr>
          <w:rFonts w:ascii="Cambria" w:hAnsi="Cambria" w:cs="Cambria"/>
        </w:rPr>
        <w:t>ϵ</w:t>
      </w:r>
      <w:r>
        <w:t xml:space="preserve"> is the error term. The research This use device soft SPSS statistics for make it easier data </w:t>
      </w:r>
      <w:proofErr w:type="gramStart"/>
      <w:r>
        <w:t>analysis .</w:t>
      </w:r>
      <w:proofErr w:type="gramEnd"/>
    </w:p>
    <w:p w:rsidR="008D1B35" w:rsidRDefault="008D1B35" w:rsidP="007D471B">
      <w:pPr>
        <w:pStyle w:val="maintextFAITH"/>
        <w:spacing w:line="360" w:lineRule="auto"/>
      </w:pPr>
    </w:p>
    <w:p w:rsidR="008D1B35" w:rsidRPr="006E2A5A" w:rsidRDefault="008D1B35" w:rsidP="007D471B">
      <w:pPr>
        <w:pStyle w:val="maintextFAITH"/>
        <w:spacing w:line="360" w:lineRule="auto"/>
      </w:pPr>
    </w:p>
    <w:p w:rsidR="00CA4AC7" w:rsidRDefault="008D1B35" w:rsidP="007D471B">
      <w:pPr>
        <w:widowControl w:val="0"/>
        <w:autoSpaceDE w:val="0"/>
        <w:autoSpaceDN w:val="0"/>
        <w:adjustRightInd w:val="0"/>
        <w:spacing w:line="360" w:lineRule="auto"/>
        <w:ind w:left="2610"/>
        <w:rPr>
          <w:rFonts w:eastAsia="Calibri"/>
          <w:noProof w:val="0"/>
          <w:szCs w:val="22"/>
          <w:lang w:eastAsia="en-US"/>
        </w:rPr>
      </w:pPr>
      <w:r>
        <w:rPr>
          <w:rFonts w:eastAsia="Calibri"/>
          <w:noProof w:val="0"/>
          <w:szCs w:val="22"/>
          <w:lang w:eastAsia="en-US"/>
        </w:rPr>
        <w:lastRenderedPageBreak/>
        <w:t>5.</w:t>
      </w:r>
      <w:r w:rsidR="00CA4AC7">
        <w:rPr>
          <w:rFonts w:eastAsia="Calibri"/>
          <w:noProof w:val="0"/>
          <w:szCs w:val="22"/>
          <w:lang w:eastAsia="en-US"/>
        </w:rPr>
        <w:t xml:space="preserve"> </w:t>
      </w:r>
      <w:r w:rsidRPr="008D1B35">
        <w:rPr>
          <w:rFonts w:eastAsia="Calibri"/>
          <w:noProof w:val="0"/>
          <w:szCs w:val="22"/>
          <w:lang w:eastAsia="en-US"/>
        </w:rPr>
        <w:t xml:space="preserve">Research Results </w:t>
      </w:r>
      <w:proofErr w:type="gramStart"/>
      <w:r w:rsidRPr="008D1B35">
        <w:rPr>
          <w:rFonts w:eastAsia="Calibri"/>
          <w:noProof w:val="0"/>
          <w:szCs w:val="22"/>
          <w:lang w:eastAsia="en-US"/>
        </w:rPr>
        <w:t>And</w:t>
      </w:r>
      <w:proofErr w:type="gramEnd"/>
      <w:r w:rsidRPr="008D1B35">
        <w:rPr>
          <w:rFonts w:eastAsia="Calibri"/>
          <w:noProof w:val="0"/>
          <w:szCs w:val="22"/>
          <w:lang w:eastAsia="en-US"/>
        </w:rPr>
        <w:t xml:space="preserve"> Discussion</w:t>
      </w:r>
    </w:p>
    <w:p w:rsidR="008D1B35" w:rsidRDefault="008D1B35" w:rsidP="007D471B">
      <w:pPr>
        <w:widowControl w:val="0"/>
        <w:autoSpaceDE w:val="0"/>
        <w:autoSpaceDN w:val="0"/>
        <w:adjustRightInd w:val="0"/>
        <w:spacing w:line="360" w:lineRule="auto"/>
        <w:ind w:left="2610"/>
        <w:rPr>
          <w:rFonts w:eastAsia="Calibri"/>
          <w:noProof w:val="0"/>
          <w:szCs w:val="22"/>
          <w:lang w:eastAsia="en-US"/>
        </w:rPr>
      </w:pPr>
      <w:r>
        <w:rPr>
          <w:rFonts w:eastAsia="Calibri"/>
          <w:noProof w:val="0"/>
          <w:szCs w:val="22"/>
          <w:lang w:eastAsia="en-US"/>
        </w:rPr>
        <w:t xml:space="preserve">5.1 </w:t>
      </w:r>
      <w:r w:rsidRPr="008D1B35">
        <w:rPr>
          <w:rFonts w:eastAsia="Calibri"/>
          <w:noProof w:val="0"/>
          <w:szCs w:val="22"/>
          <w:lang w:eastAsia="en-US"/>
        </w:rPr>
        <w:t>Analysis Descriptive Statistics</w:t>
      </w:r>
    </w:p>
    <w:p w:rsidR="008D1B35" w:rsidRDefault="008D1B35" w:rsidP="007D471B">
      <w:pPr>
        <w:pStyle w:val="maintextFAITH"/>
        <w:spacing w:line="360" w:lineRule="auto"/>
      </w:pPr>
      <w:r>
        <w:t xml:space="preserve">Following is a number of results analysis And results the test that has been done that is as </w:t>
      </w:r>
      <w:proofErr w:type="gramStart"/>
      <w:r>
        <w:t>following :</w:t>
      </w:r>
      <w:proofErr w:type="gramEnd"/>
    </w:p>
    <w:p w:rsidR="008D1B35" w:rsidRDefault="008D1B35" w:rsidP="007D471B">
      <w:pPr>
        <w:pStyle w:val="maintextFAITH"/>
        <w:spacing w:line="360" w:lineRule="auto"/>
        <w:jc w:val="center"/>
      </w:pPr>
      <w:r w:rsidRPr="008D1B35">
        <w:rPr>
          <w:b/>
          <w:bCs/>
        </w:rPr>
        <w:t>Table 3.</w:t>
      </w:r>
      <w:r>
        <w:t xml:space="preserve"> Results of Descriptive Statistical Analysis</w:t>
      </w:r>
    </w:p>
    <w:tbl>
      <w:tblPr>
        <w:tblStyle w:val="TableGrid"/>
        <w:tblW w:w="7835" w:type="dxa"/>
        <w:tblInd w:w="26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1"/>
        <w:gridCol w:w="676"/>
        <w:gridCol w:w="1117"/>
        <w:gridCol w:w="1115"/>
        <w:gridCol w:w="1117"/>
        <w:gridCol w:w="1509"/>
      </w:tblGrid>
      <w:tr w:rsidR="008D1B35" w:rsidRPr="001F244D" w:rsidTr="008D1B35">
        <w:trPr>
          <w:trHeight w:val="129"/>
        </w:trPr>
        <w:tc>
          <w:tcPr>
            <w:tcW w:w="7835" w:type="dxa"/>
            <w:gridSpan w:val="6"/>
            <w:tcBorders>
              <w:top w:val="single" w:sz="4" w:space="0" w:color="auto"/>
              <w:bottom w:val="nil"/>
            </w:tcBorders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b w:val="0"/>
                <w:bCs/>
                <w:sz w:val="20"/>
              </w:rPr>
            </w:pPr>
            <w:r w:rsidRPr="001F244D">
              <w:rPr>
                <w:bCs/>
                <w:sz w:val="20"/>
              </w:rPr>
              <w:t>Descriptive Statistics</w:t>
            </w:r>
          </w:p>
        </w:tc>
      </w:tr>
      <w:tr w:rsidR="008D1B35" w:rsidRPr="001F244D" w:rsidTr="008D1B35">
        <w:trPr>
          <w:trHeight w:val="257"/>
        </w:trPr>
        <w:tc>
          <w:tcPr>
            <w:tcW w:w="2301" w:type="dxa"/>
            <w:tcBorders>
              <w:bottom w:val="single" w:sz="4" w:space="0" w:color="auto"/>
            </w:tcBorders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</w:p>
        </w:tc>
        <w:tc>
          <w:tcPr>
            <w:tcW w:w="676" w:type="dxa"/>
            <w:tcBorders>
              <w:bottom w:val="single" w:sz="4" w:space="0" w:color="auto"/>
            </w:tcBorders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N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Min</w:t>
            </w:r>
          </w:p>
        </w:tc>
        <w:tc>
          <w:tcPr>
            <w:tcW w:w="1115" w:type="dxa"/>
            <w:tcBorders>
              <w:bottom w:val="single" w:sz="4" w:space="0" w:color="auto"/>
            </w:tcBorders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Max</w:t>
            </w:r>
          </w:p>
        </w:tc>
        <w:tc>
          <w:tcPr>
            <w:tcW w:w="1117" w:type="dxa"/>
            <w:tcBorders>
              <w:bottom w:val="single" w:sz="4" w:space="0" w:color="auto"/>
            </w:tcBorders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Mean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Std. Deviation</w:t>
            </w:r>
          </w:p>
        </w:tc>
      </w:tr>
      <w:tr w:rsidR="008D1B35" w:rsidRPr="001F244D" w:rsidTr="008D1B35">
        <w:trPr>
          <w:trHeight w:val="172"/>
        </w:trPr>
        <w:tc>
          <w:tcPr>
            <w:tcW w:w="2301" w:type="dxa"/>
            <w:tcBorders>
              <w:top w:val="single" w:sz="4" w:space="0" w:color="auto"/>
            </w:tcBorders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Commissioner Independent</w:t>
            </w:r>
          </w:p>
        </w:tc>
        <w:tc>
          <w:tcPr>
            <w:tcW w:w="676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51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0.33</w:t>
            </w:r>
          </w:p>
        </w:tc>
        <w:tc>
          <w:tcPr>
            <w:tcW w:w="1115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0.60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0.4137</w:t>
            </w:r>
          </w:p>
        </w:tc>
        <w:tc>
          <w:tcPr>
            <w:tcW w:w="1509" w:type="dxa"/>
            <w:tcBorders>
              <w:top w:val="single" w:sz="4" w:space="0" w:color="auto"/>
            </w:tcBorders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0.08129</w:t>
            </w:r>
          </w:p>
        </w:tc>
      </w:tr>
      <w:tr w:rsidR="008D1B35" w:rsidRPr="001F244D" w:rsidTr="008D1B35">
        <w:trPr>
          <w:trHeight w:val="129"/>
        </w:trPr>
        <w:tc>
          <w:tcPr>
            <w:tcW w:w="2301" w:type="dxa"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Audit Committee</w:t>
            </w:r>
          </w:p>
        </w:tc>
        <w:tc>
          <w:tcPr>
            <w:tcW w:w="676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51</w:t>
            </w:r>
          </w:p>
        </w:tc>
        <w:tc>
          <w:tcPr>
            <w:tcW w:w="1117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0</w:t>
            </w:r>
          </w:p>
        </w:tc>
        <w:tc>
          <w:tcPr>
            <w:tcW w:w="1115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3</w:t>
            </w:r>
          </w:p>
        </w:tc>
        <w:tc>
          <w:tcPr>
            <w:tcW w:w="1117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2.20</w:t>
            </w:r>
          </w:p>
        </w:tc>
        <w:tc>
          <w:tcPr>
            <w:tcW w:w="1509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1,000</w:t>
            </w:r>
          </w:p>
        </w:tc>
      </w:tr>
      <w:tr w:rsidR="008D1B35" w:rsidRPr="001F244D" w:rsidTr="008D1B35">
        <w:trPr>
          <w:trHeight w:val="207"/>
        </w:trPr>
        <w:tc>
          <w:tcPr>
            <w:tcW w:w="2301" w:type="dxa"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Reporting Sustainability</w:t>
            </w:r>
          </w:p>
        </w:tc>
        <w:tc>
          <w:tcPr>
            <w:tcW w:w="676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51</w:t>
            </w:r>
          </w:p>
        </w:tc>
        <w:tc>
          <w:tcPr>
            <w:tcW w:w="1117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0.20</w:t>
            </w:r>
          </w:p>
        </w:tc>
        <w:tc>
          <w:tcPr>
            <w:tcW w:w="1115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0.98</w:t>
            </w:r>
          </w:p>
        </w:tc>
        <w:tc>
          <w:tcPr>
            <w:tcW w:w="1117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0.5688</w:t>
            </w:r>
          </w:p>
        </w:tc>
        <w:tc>
          <w:tcPr>
            <w:tcW w:w="1509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0.19972</w:t>
            </w:r>
          </w:p>
        </w:tc>
      </w:tr>
      <w:tr w:rsidR="008D1B35" w:rsidRPr="001F244D" w:rsidTr="008D1B35">
        <w:trPr>
          <w:trHeight w:val="178"/>
        </w:trPr>
        <w:tc>
          <w:tcPr>
            <w:tcW w:w="2301" w:type="dxa"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Connection Political</w:t>
            </w:r>
          </w:p>
        </w:tc>
        <w:tc>
          <w:tcPr>
            <w:tcW w:w="676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51</w:t>
            </w:r>
          </w:p>
        </w:tc>
        <w:tc>
          <w:tcPr>
            <w:tcW w:w="1117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0</w:t>
            </w:r>
          </w:p>
        </w:tc>
        <w:tc>
          <w:tcPr>
            <w:tcW w:w="1115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2</w:t>
            </w:r>
          </w:p>
        </w:tc>
        <w:tc>
          <w:tcPr>
            <w:tcW w:w="1117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0.24</w:t>
            </w:r>
          </w:p>
        </w:tc>
        <w:tc>
          <w:tcPr>
            <w:tcW w:w="1509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0.473</w:t>
            </w:r>
          </w:p>
        </w:tc>
      </w:tr>
      <w:tr w:rsidR="008D1B35" w:rsidRPr="001F244D" w:rsidTr="008D1B35">
        <w:trPr>
          <w:trHeight w:val="207"/>
        </w:trPr>
        <w:tc>
          <w:tcPr>
            <w:tcW w:w="2301" w:type="dxa"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Avoidance Tax</w:t>
            </w:r>
          </w:p>
        </w:tc>
        <w:tc>
          <w:tcPr>
            <w:tcW w:w="676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51</w:t>
            </w:r>
          </w:p>
        </w:tc>
        <w:tc>
          <w:tcPr>
            <w:tcW w:w="1117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-0.16</w:t>
            </w:r>
          </w:p>
        </w:tc>
        <w:tc>
          <w:tcPr>
            <w:tcW w:w="1115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0.12</w:t>
            </w:r>
          </w:p>
        </w:tc>
        <w:tc>
          <w:tcPr>
            <w:tcW w:w="1117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0.0122</w:t>
            </w:r>
          </w:p>
        </w:tc>
        <w:tc>
          <w:tcPr>
            <w:tcW w:w="1509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0.07032</w:t>
            </w:r>
          </w:p>
        </w:tc>
      </w:tr>
      <w:tr w:rsidR="008D1B35" w:rsidRPr="001F244D" w:rsidTr="008D1B35">
        <w:trPr>
          <w:trHeight w:val="129"/>
        </w:trPr>
        <w:tc>
          <w:tcPr>
            <w:tcW w:w="2301" w:type="dxa"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Valid N (listwise)</w:t>
            </w:r>
          </w:p>
        </w:tc>
        <w:tc>
          <w:tcPr>
            <w:tcW w:w="676" w:type="dxa"/>
            <w:noWrap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  <w:r w:rsidRPr="001F244D">
              <w:rPr>
                <w:sz w:val="20"/>
              </w:rPr>
              <w:t>51</w:t>
            </w:r>
          </w:p>
        </w:tc>
        <w:tc>
          <w:tcPr>
            <w:tcW w:w="1117" w:type="dxa"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</w:p>
        </w:tc>
        <w:tc>
          <w:tcPr>
            <w:tcW w:w="1115" w:type="dxa"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</w:p>
        </w:tc>
        <w:tc>
          <w:tcPr>
            <w:tcW w:w="1117" w:type="dxa"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</w:p>
        </w:tc>
        <w:tc>
          <w:tcPr>
            <w:tcW w:w="1509" w:type="dxa"/>
            <w:vAlign w:val="center"/>
            <w:hideMark/>
          </w:tcPr>
          <w:p w:rsidR="008D1B35" w:rsidRPr="001F244D" w:rsidRDefault="008D1B35" w:rsidP="007D471B">
            <w:pPr>
              <w:spacing w:line="240" w:lineRule="auto"/>
              <w:ind w:right="-10"/>
              <w:jc w:val="center"/>
              <w:rPr>
                <w:sz w:val="20"/>
              </w:rPr>
            </w:pPr>
          </w:p>
        </w:tc>
      </w:tr>
    </w:tbl>
    <w:p w:rsidR="008D1B35" w:rsidRDefault="008D1B35" w:rsidP="007D471B">
      <w:pPr>
        <w:pStyle w:val="maintextFAITH"/>
        <w:spacing w:line="360" w:lineRule="auto"/>
        <w:jc w:val="center"/>
      </w:pPr>
      <w:proofErr w:type="gramStart"/>
      <w:r>
        <w:t>Source :</w:t>
      </w:r>
      <w:proofErr w:type="gramEnd"/>
      <w:r>
        <w:t xml:space="preserve"> SPSS Output (Data processed 2025)</w:t>
      </w:r>
    </w:p>
    <w:p w:rsidR="008D1B35" w:rsidRPr="008D1B35" w:rsidRDefault="008D1B35" w:rsidP="007D471B">
      <w:pPr>
        <w:pStyle w:val="maintextFAITH"/>
        <w:spacing w:line="360" w:lineRule="auto"/>
      </w:pPr>
      <w:r>
        <w:t xml:space="preserve">Proportion commissioner independent range between 0.33 to 0.60, with an average of 0.41 and standard deviation 0.08, indicating consistency between </w:t>
      </w:r>
      <w:proofErr w:type="gramStart"/>
      <w:r>
        <w:t>company</w:t>
      </w:r>
      <w:proofErr w:type="gramEnd"/>
      <w:r>
        <w:t xml:space="preserve"> on period 2021–2023. The audit committee consists of from 0 to 3, with an average of 2.20 and standard deviation 1 show that the data for the 2021-2023 period is partly big company own two until three member in audit committee . Reporting sustainability lowest namely 0.20 and highest which is 0.98. The average reporting sustainability is 0.56 with standard deviation 0.19, indicating that the data for the 2021-2023 period is abundant company Still need increase transparency And quality report sustainability they . Connection Political lowest namely 0 and highest namely 2. Average connection political as big as 0.24 shows part big company the 2021–2023 period has connection minimal </w:t>
      </w:r>
      <w:proofErr w:type="gramStart"/>
      <w:r>
        <w:t>politics .</w:t>
      </w:r>
      <w:proofErr w:type="gramEnd"/>
      <w:r>
        <w:t xml:space="preserve"> Avoidance tax range from -0.16 to 0.12, with a mean of 0.01 and standard deviation 0.07, indicating level avoidance low </w:t>
      </w:r>
      <w:proofErr w:type="gramStart"/>
      <w:r>
        <w:t>taxes .</w:t>
      </w:r>
      <w:proofErr w:type="gramEnd"/>
    </w:p>
    <w:p w:rsidR="008D1B35" w:rsidRDefault="008D1B35" w:rsidP="007D471B">
      <w:pPr>
        <w:widowControl w:val="0"/>
        <w:autoSpaceDE w:val="0"/>
        <w:autoSpaceDN w:val="0"/>
        <w:adjustRightInd w:val="0"/>
        <w:spacing w:line="360" w:lineRule="auto"/>
        <w:ind w:left="2610"/>
        <w:rPr>
          <w:rFonts w:eastAsia="Calibri"/>
          <w:noProof w:val="0"/>
          <w:szCs w:val="22"/>
          <w:lang w:eastAsia="en-US"/>
        </w:rPr>
      </w:pPr>
      <w:r>
        <w:rPr>
          <w:rFonts w:eastAsia="Calibri"/>
          <w:noProof w:val="0"/>
          <w:szCs w:val="22"/>
          <w:lang w:eastAsia="en-US"/>
        </w:rPr>
        <w:t xml:space="preserve">5.2 </w:t>
      </w:r>
      <w:r w:rsidRPr="008D1B35">
        <w:rPr>
          <w:rFonts w:eastAsia="Calibri"/>
          <w:noProof w:val="0"/>
          <w:szCs w:val="22"/>
          <w:lang w:eastAsia="en-US"/>
        </w:rPr>
        <w:t>Test Assumptions Classic</w:t>
      </w:r>
    </w:p>
    <w:p w:rsidR="008D1B35" w:rsidRDefault="008D1B35" w:rsidP="007D471B">
      <w:pPr>
        <w:pStyle w:val="maintextFAITH"/>
        <w:spacing w:line="360" w:lineRule="auto"/>
        <w:jc w:val="center"/>
      </w:pPr>
      <w:r w:rsidRPr="008D1B35">
        <w:rPr>
          <w:b/>
          <w:bCs/>
        </w:rPr>
        <w:t>Table 4.</w:t>
      </w:r>
      <w:r>
        <w:t xml:space="preserve"> Normality Test Results</w:t>
      </w:r>
    </w:p>
    <w:p w:rsidR="008D1B35" w:rsidRDefault="008D1B35" w:rsidP="007D471B">
      <w:pPr>
        <w:pStyle w:val="maintextFAITH"/>
        <w:spacing w:line="360" w:lineRule="auto"/>
        <w:ind w:firstLine="2"/>
        <w:jc w:val="left"/>
      </w:pPr>
      <w:r>
        <w:t xml:space="preserve"> </w:t>
      </w:r>
      <w:r w:rsidRPr="001638EB">
        <w:rPr>
          <w:noProof/>
          <w:sz w:val="17"/>
          <w:szCs w:val="24"/>
          <w:lang w:eastAsia="en-US" w:bidi="ar-SA"/>
        </w:rPr>
        <w:drawing>
          <wp:inline distT="0" distB="0" distL="0" distR="0" wp14:anchorId="0AC9DD5E" wp14:editId="7D3E1AA3">
            <wp:extent cx="4924425" cy="1517599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4974" cy="1533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B35" w:rsidRDefault="008D1B35" w:rsidP="007D471B">
      <w:pPr>
        <w:pStyle w:val="maintextFAITH"/>
        <w:spacing w:line="360" w:lineRule="auto"/>
        <w:jc w:val="center"/>
      </w:pPr>
      <w:proofErr w:type="gramStart"/>
      <w:r>
        <w:t>Source :</w:t>
      </w:r>
      <w:proofErr w:type="gramEnd"/>
      <w:r>
        <w:t xml:space="preserve"> SPSS Output (Data processed 2025)</w:t>
      </w:r>
    </w:p>
    <w:p w:rsidR="008D1B35" w:rsidRDefault="008D1B35" w:rsidP="007D471B">
      <w:pPr>
        <w:pStyle w:val="maintextFAITH"/>
        <w:spacing w:line="360" w:lineRule="auto"/>
      </w:pPr>
      <w:r>
        <w:t xml:space="preserve">Results test normality display sig value 0.200, which is more big of 0.05, indicating normal </w:t>
      </w:r>
      <w:proofErr w:type="gramStart"/>
      <w:r>
        <w:t>distribution .</w:t>
      </w:r>
      <w:proofErr w:type="gramEnd"/>
    </w:p>
    <w:p w:rsidR="008D1B35" w:rsidRDefault="008D1B35" w:rsidP="007D471B">
      <w:pPr>
        <w:pStyle w:val="maintextFAITH"/>
        <w:spacing w:line="360" w:lineRule="auto"/>
      </w:pPr>
    </w:p>
    <w:p w:rsidR="008D1B35" w:rsidRDefault="008D1B35" w:rsidP="007D471B">
      <w:pPr>
        <w:pStyle w:val="maintextFAITH"/>
        <w:spacing w:line="360" w:lineRule="auto"/>
      </w:pPr>
    </w:p>
    <w:p w:rsidR="008D1B35" w:rsidRDefault="008D1B35" w:rsidP="007D471B">
      <w:pPr>
        <w:pStyle w:val="maintextFAITH"/>
        <w:spacing w:line="360" w:lineRule="auto"/>
        <w:jc w:val="center"/>
      </w:pPr>
      <w:r w:rsidRPr="008D1B35">
        <w:rPr>
          <w:b/>
          <w:bCs/>
        </w:rPr>
        <w:lastRenderedPageBreak/>
        <w:t>Table 5.</w:t>
      </w:r>
      <w:r>
        <w:t xml:space="preserve"> Autocorrelation Test Results</w:t>
      </w:r>
    </w:p>
    <w:tbl>
      <w:tblPr>
        <w:tblStyle w:val="TableGrid"/>
        <w:tblW w:w="7920" w:type="dxa"/>
        <w:tblInd w:w="261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728"/>
        <w:gridCol w:w="1214"/>
        <w:gridCol w:w="1228"/>
        <w:gridCol w:w="1559"/>
        <w:gridCol w:w="2255"/>
      </w:tblGrid>
      <w:tr w:rsidR="008D1B35" w:rsidRPr="00CA4CE3" w:rsidTr="008D1B35">
        <w:trPr>
          <w:trHeight w:val="311"/>
        </w:trPr>
        <w:tc>
          <w:tcPr>
            <w:tcW w:w="7920" w:type="dxa"/>
            <w:gridSpan w:val="6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8D1B35" w:rsidRPr="00CA4CE3" w:rsidRDefault="008D1B35" w:rsidP="007D471B">
            <w:pPr>
              <w:spacing w:line="240" w:lineRule="auto"/>
              <w:ind w:right="-10"/>
              <w:jc w:val="center"/>
              <w:rPr>
                <w:b w:val="0"/>
                <w:bCs/>
                <w:sz w:val="20"/>
              </w:rPr>
            </w:pPr>
            <w:r w:rsidRPr="00CA4CE3">
              <w:rPr>
                <w:bCs/>
                <w:sz w:val="20"/>
              </w:rPr>
              <w:t xml:space="preserve">Model Summary </w:t>
            </w:r>
            <w:r w:rsidRPr="00CA4CE3">
              <w:rPr>
                <w:bCs/>
                <w:sz w:val="20"/>
                <w:vertAlign w:val="superscript"/>
              </w:rPr>
              <w:t>b</w:t>
            </w:r>
          </w:p>
        </w:tc>
      </w:tr>
      <w:tr w:rsidR="008D1B35" w:rsidRPr="00CA4CE3" w:rsidTr="008D1B35">
        <w:trPr>
          <w:trHeight w:val="481"/>
        </w:trPr>
        <w:tc>
          <w:tcPr>
            <w:tcW w:w="936" w:type="dxa"/>
            <w:tcBorders>
              <w:top w:val="single" w:sz="4" w:space="0" w:color="auto"/>
            </w:tcBorders>
            <w:hideMark/>
          </w:tcPr>
          <w:p w:rsidR="008D1B35" w:rsidRPr="00CA4CE3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CA4CE3">
              <w:rPr>
                <w:sz w:val="20"/>
              </w:rPr>
              <w:t>Model</w:t>
            </w:r>
          </w:p>
        </w:tc>
        <w:tc>
          <w:tcPr>
            <w:tcW w:w="728" w:type="dxa"/>
            <w:tcBorders>
              <w:top w:val="single" w:sz="4" w:space="0" w:color="auto"/>
            </w:tcBorders>
            <w:hideMark/>
          </w:tcPr>
          <w:p w:rsidR="008D1B35" w:rsidRPr="00CA4CE3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CA4CE3">
              <w:rPr>
                <w:sz w:val="20"/>
              </w:rPr>
              <w:t>R</w:t>
            </w:r>
          </w:p>
        </w:tc>
        <w:tc>
          <w:tcPr>
            <w:tcW w:w="1214" w:type="dxa"/>
            <w:tcBorders>
              <w:top w:val="single" w:sz="4" w:space="0" w:color="auto"/>
            </w:tcBorders>
            <w:hideMark/>
          </w:tcPr>
          <w:p w:rsidR="008D1B35" w:rsidRPr="00CA4CE3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CA4CE3">
              <w:rPr>
                <w:sz w:val="20"/>
              </w:rPr>
              <w:t>R Square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hideMark/>
          </w:tcPr>
          <w:p w:rsidR="008D1B35" w:rsidRPr="00CA4CE3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CA4CE3">
              <w:rPr>
                <w:sz w:val="20"/>
              </w:rPr>
              <w:t>Adjusted R Square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8D1B35" w:rsidRPr="00CA4CE3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CA4CE3">
              <w:rPr>
                <w:sz w:val="20"/>
              </w:rPr>
              <w:t>Std. Error of the Estimate</w:t>
            </w:r>
          </w:p>
        </w:tc>
        <w:tc>
          <w:tcPr>
            <w:tcW w:w="2255" w:type="dxa"/>
            <w:tcBorders>
              <w:top w:val="single" w:sz="4" w:space="0" w:color="auto"/>
            </w:tcBorders>
            <w:hideMark/>
          </w:tcPr>
          <w:p w:rsidR="008D1B35" w:rsidRPr="00CA4CE3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CA4CE3">
              <w:rPr>
                <w:sz w:val="20"/>
              </w:rPr>
              <w:t>Durbin-Watson</w:t>
            </w:r>
          </w:p>
        </w:tc>
      </w:tr>
      <w:tr w:rsidR="008D1B35" w:rsidRPr="00CA4CE3" w:rsidTr="008D1B35">
        <w:trPr>
          <w:trHeight w:val="311"/>
        </w:trPr>
        <w:tc>
          <w:tcPr>
            <w:tcW w:w="936" w:type="dxa"/>
            <w:noWrap/>
            <w:hideMark/>
          </w:tcPr>
          <w:p w:rsidR="008D1B35" w:rsidRPr="00CA4CE3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CA4CE3">
              <w:rPr>
                <w:sz w:val="20"/>
              </w:rPr>
              <w:t>1</w:t>
            </w:r>
          </w:p>
        </w:tc>
        <w:tc>
          <w:tcPr>
            <w:tcW w:w="728" w:type="dxa"/>
            <w:noWrap/>
            <w:hideMark/>
          </w:tcPr>
          <w:p w:rsidR="008D1B35" w:rsidRPr="00CA4CE3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CA4CE3">
              <w:rPr>
                <w:sz w:val="20"/>
              </w:rPr>
              <w:t>.437</w:t>
            </w:r>
            <w:r w:rsidRPr="00CA4CE3">
              <w:rPr>
                <w:sz w:val="20"/>
                <w:vertAlign w:val="superscript"/>
              </w:rPr>
              <w:t>a</w:t>
            </w:r>
          </w:p>
        </w:tc>
        <w:tc>
          <w:tcPr>
            <w:tcW w:w="1214" w:type="dxa"/>
            <w:noWrap/>
            <w:hideMark/>
          </w:tcPr>
          <w:p w:rsidR="008D1B35" w:rsidRPr="00CA4CE3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CA4CE3">
              <w:rPr>
                <w:sz w:val="20"/>
              </w:rPr>
              <w:t>0,191</w:t>
            </w:r>
          </w:p>
        </w:tc>
        <w:tc>
          <w:tcPr>
            <w:tcW w:w="1228" w:type="dxa"/>
            <w:noWrap/>
            <w:hideMark/>
          </w:tcPr>
          <w:p w:rsidR="008D1B35" w:rsidRPr="00CA4CE3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CA4CE3">
              <w:rPr>
                <w:sz w:val="20"/>
              </w:rPr>
              <w:t>0,120</w:t>
            </w:r>
          </w:p>
        </w:tc>
        <w:tc>
          <w:tcPr>
            <w:tcW w:w="1559" w:type="dxa"/>
            <w:noWrap/>
            <w:hideMark/>
          </w:tcPr>
          <w:p w:rsidR="008D1B35" w:rsidRPr="00CA4CE3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CA4CE3">
              <w:rPr>
                <w:sz w:val="20"/>
              </w:rPr>
              <w:t>0,06595</w:t>
            </w:r>
          </w:p>
        </w:tc>
        <w:tc>
          <w:tcPr>
            <w:tcW w:w="2255" w:type="dxa"/>
            <w:noWrap/>
            <w:hideMark/>
          </w:tcPr>
          <w:p w:rsidR="008D1B35" w:rsidRPr="00CA4CE3" w:rsidRDefault="008D1B35" w:rsidP="007D471B">
            <w:pPr>
              <w:spacing w:line="240" w:lineRule="auto"/>
              <w:ind w:right="-10"/>
              <w:rPr>
                <w:sz w:val="20"/>
              </w:rPr>
            </w:pPr>
            <w:r w:rsidRPr="00CA4CE3">
              <w:rPr>
                <w:sz w:val="20"/>
              </w:rPr>
              <w:t>1,213</w:t>
            </w:r>
          </w:p>
        </w:tc>
      </w:tr>
    </w:tbl>
    <w:p w:rsidR="008D1B35" w:rsidRDefault="008D1B35" w:rsidP="007D471B">
      <w:pPr>
        <w:pStyle w:val="maintextFAITH"/>
        <w:spacing w:line="360" w:lineRule="auto"/>
        <w:jc w:val="center"/>
      </w:pPr>
    </w:p>
    <w:p w:rsidR="008D1B35" w:rsidRDefault="008D1B35" w:rsidP="007D471B">
      <w:pPr>
        <w:pStyle w:val="maintextFAITH"/>
        <w:spacing w:line="360" w:lineRule="auto"/>
        <w:jc w:val="center"/>
      </w:pPr>
      <w:proofErr w:type="spellStart"/>
      <w:proofErr w:type="gramStart"/>
      <w:r>
        <w:t>Sumber</w:t>
      </w:r>
      <w:proofErr w:type="spellEnd"/>
      <w:r>
        <w:t xml:space="preserve"> :</w:t>
      </w:r>
      <w:proofErr w:type="gramEnd"/>
      <w:r>
        <w:t xml:space="preserve"> Output SPSS (Data </w:t>
      </w:r>
      <w:proofErr w:type="spellStart"/>
      <w:r>
        <w:t>diolah</w:t>
      </w:r>
      <w:proofErr w:type="spellEnd"/>
      <w:r>
        <w:t xml:space="preserve"> 2025)</w:t>
      </w:r>
    </w:p>
    <w:p w:rsidR="008D1B35" w:rsidRPr="008D1B35" w:rsidRDefault="008D1B35" w:rsidP="007D471B">
      <w:pPr>
        <w:pStyle w:val="maintextFAITH"/>
        <w:spacing w:line="360" w:lineRule="auto"/>
      </w:pPr>
      <w:r>
        <w:t xml:space="preserve">Based on table </w:t>
      </w:r>
      <w:proofErr w:type="gramStart"/>
      <w:r>
        <w:t>above ,</w:t>
      </w:r>
      <w:proofErr w:type="gramEnd"/>
      <w:r>
        <w:t xml:space="preserve"> can </w:t>
      </w:r>
      <w:proofErr w:type="spellStart"/>
      <w:r>
        <w:t>known</w:t>
      </w:r>
      <w:proofErr w:type="spellEnd"/>
      <w:r>
        <w:t xml:space="preserve"> that mark Durbin Watson test of 1.213. </w:t>
      </w:r>
      <w:proofErr w:type="gramStart"/>
      <w:r>
        <w:t>indicates</w:t>
      </w:r>
      <w:proofErr w:type="gramEnd"/>
      <w:r>
        <w:t xml:space="preserve"> existence potential autocorrelation positive in the residuals of the regression model .</w:t>
      </w:r>
    </w:p>
    <w:p w:rsidR="008D1B35" w:rsidRDefault="008D1B35" w:rsidP="007D471B">
      <w:pPr>
        <w:widowControl w:val="0"/>
        <w:autoSpaceDE w:val="0"/>
        <w:autoSpaceDN w:val="0"/>
        <w:adjustRightInd w:val="0"/>
        <w:spacing w:line="360" w:lineRule="auto"/>
        <w:ind w:left="2610"/>
        <w:rPr>
          <w:rFonts w:eastAsia="Calibri"/>
          <w:noProof w:val="0"/>
          <w:szCs w:val="22"/>
          <w:lang w:eastAsia="en-US"/>
        </w:rPr>
      </w:pPr>
      <w:r>
        <w:rPr>
          <w:rFonts w:eastAsia="Calibri"/>
          <w:noProof w:val="0"/>
          <w:szCs w:val="22"/>
          <w:lang w:eastAsia="en-US"/>
        </w:rPr>
        <w:t xml:space="preserve">5.3 </w:t>
      </w:r>
      <w:r w:rsidR="00177CCB" w:rsidRPr="00177CCB">
        <w:rPr>
          <w:rFonts w:eastAsia="Calibri"/>
          <w:noProof w:val="0"/>
          <w:szCs w:val="22"/>
          <w:lang w:eastAsia="en-US"/>
        </w:rPr>
        <w:t>Test Hypothesis</w:t>
      </w:r>
    </w:p>
    <w:p w:rsidR="00177CCB" w:rsidRDefault="00177CCB" w:rsidP="007D471B">
      <w:pPr>
        <w:pStyle w:val="maintextFAITH"/>
        <w:spacing w:line="360" w:lineRule="auto"/>
        <w:jc w:val="center"/>
      </w:pPr>
      <w:r w:rsidRPr="00177CCB">
        <w:rPr>
          <w:b/>
          <w:bCs/>
        </w:rPr>
        <w:t>Table 6.</w:t>
      </w:r>
      <w:r>
        <w:t xml:space="preserve"> Results of Multiple Linear Regression Analysis Test </w:t>
      </w:r>
      <w:r w:rsidRPr="00B36E26">
        <w:rPr>
          <w:noProof/>
          <w:szCs w:val="24"/>
          <w:lang w:eastAsia="en-US" w:bidi="ar-SA"/>
        </w:rPr>
        <w:drawing>
          <wp:inline distT="0" distB="0" distL="0" distR="0" wp14:anchorId="17E3EF20" wp14:editId="1E5966EF">
            <wp:extent cx="4981575" cy="13335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82274" cy="1333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CCB" w:rsidRDefault="00177CCB" w:rsidP="007D471B">
      <w:pPr>
        <w:pStyle w:val="maintextFAITH"/>
        <w:spacing w:line="360" w:lineRule="auto"/>
        <w:jc w:val="center"/>
      </w:pPr>
      <w:proofErr w:type="gramStart"/>
      <w:r>
        <w:t>Source :</w:t>
      </w:r>
      <w:proofErr w:type="gramEnd"/>
      <w:r>
        <w:t xml:space="preserve"> SPSS Output (Data processed 2025)</w:t>
      </w:r>
    </w:p>
    <w:p w:rsidR="00177CCB" w:rsidRDefault="00177CCB" w:rsidP="007D471B">
      <w:pPr>
        <w:pStyle w:val="maintextFAITH"/>
        <w:spacing w:line="360" w:lineRule="auto"/>
      </w:pPr>
      <w:r>
        <w:t xml:space="preserve">On table on with analysis </w:t>
      </w:r>
      <w:proofErr w:type="gramStart"/>
      <w:r>
        <w:t>said ,</w:t>
      </w:r>
      <w:proofErr w:type="gramEnd"/>
      <w:r>
        <w:t xml:space="preserve"> the equation regression unstandardized can written as following :</w:t>
      </w:r>
    </w:p>
    <w:p w:rsidR="00177CCB" w:rsidRDefault="00177CCB" w:rsidP="007D471B">
      <w:pPr>
        <w:pStyle w:val="maintextFAITH"/>
        <w:spacing w:line="360" w:lineRule="auto"/>
      </w:pPr>
      <w:r>
        <w:t xml:space="preserve">Y=−0.043+0.002 </w:t>
      </w:r>
      <w:proofErr w:type="gramStart"/>
      <w:r>
        <w:t>( X1</w:t>
      </w:r>
      <w:proofErr w:type="gramEnd"/>
      <w:r>
        <w:t>)+0.022 ( X2)−0.007 ( X3) +0.043 (</w:t>
      </w:r>
    </w:p>
    <w:p w:rsidR="00177CCB" w:rsidRDefault="00177CCB" w:rsidP="007D471B">
      <w:pPr>
        <w:pStyle w:val="maintextFAITH"/>
        <w:spacing w:line="360" w:lineRule="auto"/>
      </w:pPr>
      <w:r>
        <w:t xml:space="preserve">Results test regression proportion commissioner independent No influence sig on avoidance tax </w:t>
      </w:r>
      <w:proofErr w:type="gramStart"/>
      <w:r>
        <w:t>( coefficient</w:t>
      </w:r>
      <w:proofErr w:type="gramEnd"/>
      <w:r>
        <w:t xml:space="preserve"> 0.002; Sig 0.991), while audit committee Influence positive significant ( coefficient 0.022; sig 0.038), which shows its effectiveness in push compliance tax . </w:t>
      </w:r>
      <w:proofErr w:type="gramStart"/>
      <w:r>
        <w:t>indicates</w:t>
      </w:r>
      <w:proofErr w:type="gramEnd"/>
      <w:r>
        <w:t xml:space="preserve"> that effectiveness the audit committee can push compliance Tax . Reporting sustainability own coefficient -0.007 and No There is Affecting sig (Sig 0.898), shows lack of proof For support its </w:t>
      </w:r>
      <w:proofErr w:type="gramStart"/>
      <w:r>
        <w:t>influence .</w:t>
      </w:r>
      <w:proofErr w:type="gramEnd"/>
      <w:r>
        <w:t xml:space="preserve"> Connection political influence positive sig against avoidance tax </w:t>
      </w:r>
      <w:proofErr w:type="gramStart"/>
      <w:r>
        <w:t>( coefficient</w:t>
      </w:r>
      <w:proofErr w:type="gramEnd"/>
      <w:r>
        <w:t xml:space="preserve"> 0.043; Sig 0.048), which indicates a company with connection political strong more For avoid tax.</w:t>
      </w:r>
    </w:p>
    <w:p w:rsidR="00177CCB" w:rsidRDefault="00177CCB" w:rsidP="007D471B">
      <w:pPr>
        <w:pStyle w:val="maintextFAITH"/>
        <w:spacing w:line="360" w:lineRule="auto"/>
        <w:jc w:val="center"/>
      </w:pPr>
      <w:r w:rsidRPr="00177CCB">
        <w:rPr>
          <w:b/>
          <w:bCs/>
        </w:rPr>
        <w:t>Table 7.</w:t>
      </w:r>
      <w:r>
        <w:t xml:space="preserve"> F Test Results</w:t>
      </w:r>
    </w:p>
    <w:p w:rsidR="00177CCB" w:rsidRDefault="00177CCB" w:rsidP="007D471B">
      <w:pPr>
        <w:pStyle w:val="maintextFAITH"/>
        <w:spacing w:line="360" w:lineRule="auto"/>
        <w:ind w:firstLine="2"/>
        <w:jc w:val="left"/>
      </w:pPr>
      <w:r>
        <w:t xml:space="preserve"> </w:t>
      </w:r>
      <w:r w:rsidRPr="009659FF">
        <w:rPr>
          <w:noProof/>
          <w:lang w:eastAsia="en-US" w:bidi="ar-SA"/>
        </w:rPr>
        <w:drawing>
          <wp:inline distT="0" distB="0" distL="0" distR="0" wp14:anchorId="219FB82A" wp14:editId="0768E293">
            <wp:extent cx="4905375" cy="829199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-1" b="3256"/>
                    <a:stretch/>
                  </pic:blipFill>
                  <pic:spPr bwMode="auto">
                    <a:xfrm>
                      <a:off x="0" y="0"/>
                      <a:ext cx="4934191" cy="834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7CCB" w:rsidRDefault="00177CCB" w:rsidP="007D471B">
      <w:pPr>
        <w:pStyle w:val="maintextFAITH"/>
        <w:spacing w:line="360" w:lineRule="auto"/>
        <w:jc w:val="center"/>
      </w:pPr>
      <w:proofErr w:type="gramStart"/>
      <w:r>
        <w:t>Source :</w:t>
      </w:r>
      <w:proofErr w:type="gramEnd"/>
      <w:r>
        <w:t xml:space="preserve"> SPSS Output (Data processed 2025)</w:t>
      </w:r>
    </w:p>
    <w:p w:rsidR="00177CCB" w:rsidRDefault="00177CCB" w:rsidP="007D471B">
      <w:pPr>
        <w:pStyle w:val="maintextFAITH"/>
        <w:spacing w:line="360" w:lineRule="auto"/>
      </w:pPr>
      <w:r>
        <w:t xml:space="preserve">F test shows F value 2.708 with significance p 0.042, which indicates that in a way </w:t>
      </w:r>
      <w:proofErr w:type="gramStart"/>
      <w:r>
        <w:t>collectively ,</w:t>
      </w:r>
      <w:proofErr w:type="gramEnd"/>
      <w:r>
        <w:t xml:space="preserve"> all independent variables  in a way simultaneous influential to avoidance tax .</w:t>
      </w:r>
    </w:p>
    <w:p w:rsidR="00177CCB" w:rsidRDefault="00177CCB" w:rsidP="007D471B">
      <w:pPr>
        <w:pStyle w:val="maintextFAITH"/>
        <w:spacing w:line="360" w:lineRule="auto"/>
      </w:pPr>
    </w:p>
    <w:p w:rsidR="00177CCB" w:rsidRDefault="00177CCB" w:rsidP="007D471B">
      <w:pPr>
        <w:pStyle w:val="maintextFAITH"/>
        <w:spacing w:line="360" w:lineRule="auto"/>
      </w:pPr>
    </w:p>
    <w:p w:rsidR="00177CCB" w:rsidRDefault="00177CCB" w:rsidP="007D471B">
      <w:pPr>
        <w:pStyle w:val="maintextFAITH"/>
        <w:spacing w:line="360" w:lineRule="auto"/>
        <w:ind w:firstLine="2"/>
        <w:jc w:val="center"/>
      </w:pPr>
      <w:r w:rsidRPr="00177CCB">
        <w:rPr>
          <w:b/>
          <w:bCs/>
        </w:rPr>
        <w:t>Table 8.</w:t>
      </w:r>
      <w:r>
        <w:t xml:space="preserve"> T-Test Results </w:t>
      </w:r>
      <w:r w:rsidRPr="009659FF">
        <w:rPr>
          <w:noProof/>
          <w:lang w:eastAsia="en-US" w:bidi="ar-SA"/>
        </w:rPr>
        <w:drawing>
          <wp:inline distT="0" distB="0" distL="0" distR="0" wp14:anchorId="16AE5E78" wp14:editId="3A6ADD63">
            <wp:extent cx="4774018" cy="1541721"/>
            <wp:effectExtent l="0" t="0" r="7620" b="19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80021" cy="154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7CCB" w:rsidRDefault="00177CCB" w:rsidP="007D471B">
      <w:pPr>
        <w:pStyle w:val="maintextFAITH"/>
        <w:spacing w:line="360" w:lineRule="auto"/>
        <w:jc w:val="center"/>
      </w:pPr>
      <w:proofErr w:type="gramStart"/>
      <w:r>
        <w:t>Source :</w:t>
      </w:r>
      <w:proofErr w:type="gramEnd"/>
      <w:r>
        <w:t xml:space="preserve"> SPSS Output (Data processed 2025)</w:t>
      </w:r>
    </w:p>
    <w:p w:rsidR="008D1B35" w:rsidRDefault="00177CCB" w:rsidP="007D471B">
      <w:pPr>
        <w:pStyle w:val="maintextFAITH"/>
        <w:spacing w:line="360" w:lineRule="auto"/>
      </w:pPr>
      <w:r>
        <w:t xml:space="preserve">T -test shows audit committee influences sig on compliance taxation </w:t>
      </w:r>
      <w:proofErr w:type="gramStart"/>
      <w:r>
        <w:t>( coefficient</w:t>
      </w:r>
      <w:proofErr w:type="gramEnd"/>
      <w:r>
        <w:t xml:space="preserve"> 0.022; Sig 0.038), and connection political influence sig on avoidance tax ( coefficient 0.043; Sig 0.048). While </w:t>
      </w:r>
      <w:proofErr w:type="gramStart"/>
      <w:r>
        <w:t>that ,</w:t>
      </w:r>
      <w:proofErr w:type="gramEnd"/>
      <w:r>
        <w:t xml:space="preserve"> commissioner independent And reporting sustainability No influence (sig 0.991 and 0.898).</w:t>
      </w:r>
    </w:p>
    <w:p w:rsidR="007D471B" w:rsidRPr="008D1B35" w:rsidRDefault="007D471B" w:rsidP="007D471B">
      <w:pPr>
        <w:pStyle w:val="maintextFAITH"/>
        <w:spacing w:line="360" w:lineRule="auto"/>
      </w:pPr>
    </w:p>
    <w:p w:rsidR="00CA4AC7" w:rsidRPr="00177CCB" w:rsidRDefault="00177CCB" w:rsidP="007D471B">
      <w:pPr>
        <w:widowControl w:val="0"/>
        <w:autoSpaceDE w:val="0"/>
        <w:autoSpaceDN w:val="0"/>
        <w:adjustRightInd w:val="0"/>
        <w:spacing w:line="360" w:lineRule="auto"/>
        <w:ind w:left="2610"/>
        <w:rPr>
          <w:rFonts w:eastAsia="Calibri"/>
          <w:noProof w:val="0"/>
          <w:szCs w:val="22"/>
          <w:lang w:eastAsia="en-US"/>
        </w:rPr>
      </w:pPr>
      <w:r>
        <w:rPr>
          <w:rFonts w:eastAsia="Calibri"/>
          <w:noProof w:val="0"/>
          <w:szCs w:val="22"/>
          <w:lang w:eastAsia="en-US"/>
        </w:rPr>
        <w:t xml:space="preserve">6. </w:t>
      </w:r>
      <w:r w:rsidR="00CA4AC7" w:rsidRPr="00177CCB">
        <w:rPr>
          <w:rFonts w:eastAsia="Calibri"/>
          <w:noProof w:val="0"/>
          <w:szCs w:val="22"/>
          <w:lang w:eastAsia="en-US"/>
        </w:rPr>
        <w:t>Discussion</w:t>
      </w:r>
    </w:p>
    <w:p w:rsidR="00177CCB" w:rsidRDefault="00177CCB" w:rsidP="007D471B">
      <w:pPr>
        <w:pStyle w:val="maintextFAITH"/>
        <w:spacing w:line="360" w:lineRule="auto"/>
      </w:pPr>
      <w:proofErr w:type="gramStart"/>
      <w:r>
        <w:t>Research ,</w:t>
      </w:r>
      <w:proofErr w:type="gramEnd"/>
      <w:r>
        <w:t xml:space="preserve"> including by </w:t>
      </w:r>
      <w:proofErr w:type="spellStart"/>
      <w:r>
        <w:t>Muliasari</w:t>
      </w:r>
      <w:proofErr w:type="spellEnd"/>
      <w:r>
        <w:t xml:space="preserve"> &amp; </w:t>
      </w:r>
      <w:proofErr w:type="spellStart"/>
      <w:r>
        <w:t>Hidayat</w:t>
      </w:r>
      <w:proofErr w:type="spellEnd"/>
      <w:r>
        <w:t xml:space="preserve"> (2020) , shows that proportion commissioner independent No influence on avoidance tax , even though according to Theory Agency they should supervise management act in accordance interest holder share .</w:t>
      </w:r>
    </w:p>
    <w:p w:rsidR="00177CCB" w:rsidRDefault="00177CCB" w:rsidP="007D471B">
      <w:pPr>
        <w:pStyle w:val="maintextFAITH"/>
        <w:spacing w:line="360" w:lineRule="auto"/>
      </w:pPr>
      <w:r>
        <w:t xml:space="preserve">Study This </w:t>
      </w:r>
      <w:proofErr w:type="gramStart"/>
      <w:r>
        <w:t>find  audit</w:t>
      </w:r>
      <w:proofErr w:type="gramEnd"/>
      <w:r>
        <w:t xml:space="preserve"> committee influences positive sig against avoidance tax . Research previously by </w:t>
      </w:r>
      <w:proofErr w:type="spellStart"/>
      <w:r>
        <w:t>Aji</w:t>
      </w:r>
      <w:proofErr w:type="spellEnd"/>
      <w:r>
        <w:t xml:space="preserve"> &amp; </w:t>
      </w:r>
      <w:proofErr w:type="spellStart"/>
      <w:r>
        <w:t>Arrasyid</w:t>
      </w:r>
      <w:proofErr w:type="spellEnd"/>
      <w:r>
        <w:t xml:space="preserve"> (2023) support findings This with state that effective audit committee can push compliance taxation And reduce avoidance </w:t>
      </w:r>
      <w:proofErr w:type="gramStart"/>
      <w:r>
        <w:t>tax .</w:t>
      </w:r>
      <w:proofErr w:type="gramEnd"/>
      <w:r>
        <w:t xml:space="preserve"> In GCG </w:t>
      </w:r>
      <w:proofErr w:type="gramStart"/>
      <w:r>
        <w:t>theory ,</w:t>
      </w:r>
      <w:proofErr w:type="gramEnd"/>
      <w:r>
        <w:t xml:space="preserve"> effective audit committee can reduce risk avoidance tax , in line with principle transparency And accountability. Research This show reporting sustainability No Influence to avoidance tax , although according to Aditya (2024) active company report tend more obey to maintain legitimacy .</w:t>
      </w:r>
    </w:p>
    <w:p w:rsidR="00177CCB" w:rsidRPr="00177CCB" w:rsidRDefault="00177CCB" w:rsidP="007D471B">
      <w:pPr>
        <w:pStyle w:val="maintextFAITH"/>
        <w:spacing w:line="360" w:lineRule="auto"/>
      </w:pPr>
      <w:r>
        <w:t xml:space="preserve">Study This disclose that connection political influential positive significant to avoidance tax , according to with findings research by </w:t>
      </w:r>
      <w:proofErr w:type="spellStart"/>
      <w:r>
        <w:t>Fitiasari</w:t>
      </w:r>
      <w:proofErr w:type="spellEnd"/>
      <w:r>
        <w:t xml:space="preserve"> &amp; </w:t>
      </w:r>
      <w:proofErr w:type="spellStart"/>
      <w:r>
        <w:t>Suwandi</w:t>
      </w:r>
      <w:proofErr w:type="spellEnd"/>
      <w:r>
        <w:t xml:space="preserve"> (2020) which shows that company with connection near with official government tend more aggressive in avoidance tax . Connection This give access For to obtain policy favorable </w:t>
      </w:r>
      <w:proofErr w:type="gramStart"/>
      <w:r>
        <w:t>taxation ,</w:t>
      </w:r>
      <w:proofErr w:type="gramEnd"/>
      <w:r>
        <w:t xml:space="preserve"> which can harm income country . Theory Group Interest explain that group with interest certain can influence policy </w:t>
      </w:r>
      <w:proofErr w:type="gramStart"/>
      <w:r>
        <w:t>company ,</w:t>
      </w:r>
      <w:proofErr w:type="gramEnd"/>
      <w:r>
        <w:t xml:space="preserve"> so that connection political can push practice avoidance taxes that are not ethical .</w:t>
      </w:r>
    </w:p>
    <w:p w:rsidR="00CA4AC7" w:rsidRDefault="00CA4AC7" w:rsidP="007D471B">
      <w:pPr>
        <w:pStyle w:val="maintextFAITH"/>
        <w:spacing w:line="360" w:lineRule="auto"/>
        <w:rPr>
          <w:lang w:val="id"/>
        </w:rPr>
      </w:pPr>
    </w:p>
    <w:p w:rsidR="007D471B" w:rsidRDefault="007D471B" w:rsidP="007D471B">
      <w:pPr>
        <w:pStyle w:val="maintextFAITH"/>
        <w:spacing w:line="360" w:lineRule="auto"/>
        <w:rPr>
          <w:lang w:val="id"/>
        </w:rPr>
      </w:pPr>
    </w:p>
    <w:p w:rsidR="007D471B" w:rsidRDefault="007D471B" w:rsidP="007D471B">
      <w:pPr>
        <w:pStyle w:val="maintextFAITH"/>
        <w:spacing w:line="360" w:lineRule="auto"/>
        <w:rPr>
          <w:lang w:val="id"/>
        </w:rPr>
      </w:pPr>
    </w:p>
    <w:p w:rsidR="007D471B" w:rsidRPr="00236DC1" w:rsidRDefault="007D471B" w:rsidP="007D471B">
      <w:pPr>
        <w:pStyle w:val="maintextFAITH"/>
        <w:spacing w:line="360" w:lineRule="auto"/>
        <w:rPr>
          <w:lang w:val="id"/>
        </w:rPr>
      </w:pPr>
    </w:p>
    <w:p w:rsidR="00CA4AC7" w:rsidRDefault="00177CCB" w:rsidP="007D471B">
      <w:pPr>
        <w:widowControl w:val="0"/>
        <w:autoSpaceDE w:val="0"/>
        <w:autoSpaceDN w:val="0"/>
        <w:adjustRightInd w:val="0"/>
        <w:spacing w:line="360" w:lineRule="auto"/>
        <w:ind w:left="2610"/>
        <w:rPr>
          <w:rFonts w:eastAsia="Calibri"/>
          <w:noProof w:val="0"/>
          <w:szCs w:val="22"/>
          <w:lang w:eastAsia="en-US"/>
        </w:rPr>
      </w:pPr>
      <w:r>
        <w:rPr>
          <w:rFonts w:eastAsia="Calibri"/>
          <w:noProof w:val="0"/>
          <w:szCs w:val="22"/>
          <w:lang w:eastAsia="en-US"/>
        </w:rPr>
        <w:lastRenderedPageBreak/>
        <w:t xml:space="preserve">7. </w:t>
      </w:r>
      <w:r w:rsidRPr="00177CCB">
        <w:rPr>
          <w:rFonts w:eastAsia="Calibri"/>
          <w:noProof w:val="0"/>
          <w:szCs w:val="22"/>
          <w:lang w:eastAsia="en-US"/>
        </w:rPr>
        <w:t xml:space="preserve">Conclusions </w:t>
      </w:r>
      <w:proofErr w:type="gramStart"/>
      <w:r w:rsidRPr="00177CCB">
        <w:rPr>
          <w:rFonts w:eastAsia="Calibri"/>
          <w:noProof w:val="0"/>
          <w:szCs w:val="22"/>
          <w:lang w:eastAsia="en-US"/>
        </w:rPr>
        <w:t>And</w:t>
      </w:r>
      <w:proofErr w:type="gramEnd"/>
      <w:r w:rsidRPr="00177CCB">
        <w:rPr>
          <w:rFonts w:eastAsia="Calibri"/>
          <w:noProof w:val="0"/>
          <w:szCs w:val="22"/>
          <w:lang w:eastAsia="en-US"/>
        </w:rPr>
        <w:t xml:space="preserve"> Implications</w:t>
      </w:r>
    </w:p>
    <w:p w:rsidR="00177CCB" w:rsidRDefault="00177CCB" w:rsidP="007D471B">
      <w:pPr>
        <w:widowControl w:val="0"/>
        <w:autoSpaceDE w:val="0"/>
        <w:autoSpaceDN w:val="0"/>
        <w:adjustRightInd w:val="0"/>
        <w:spacing w:line="360" w:lineRule="auto"/>
        <w:ind w:left="2610"/>
        <w:rPr>
          <w:rFonts w:eastAsia="Calibri"/>
          <w:noProof w:val="0"/>
          <w:szCs w:val="22"/>
          <w:lang w:eastAsia="en-US"/>
        </w:rPr>
      </w:pPr>
      <w:r>
        <w:rPr>
          <w:rFonts w:eastAsia="Calibri"/>
          <w:noProof w:val="0"/>
          <w:szCs w:val="22"/>
          <w:lang w:eastAsia="en-US"/>
        </w:rPr>
        <w:t xml:space="preserve">7.1 </w:t>
      </w:r>
      <w:r w:rsidRPr="00177CCB">
        <w:rPr>
          <w:rFonts w:eastAsia="Calibri"/>
          <w:noProof w:val="0"/>
          <w:szCs w:val="22"/>
          <w:lang w:eastAsia="en-US"/>
        </w:rPr>
        <w:t>Conclusions</w:t>
      </w:r>
    </w:p>
    <w:p w:rsidR="00177CCB" w:rsidRDefault="00177CCB" w:rsidP="007D471B">
      <w:pPr>
        <w:pStyle w:val="maintextFAITH"/>
        <w:spacing w:line="360" w:lineRule="auto"/>
      </w:pPr>
      <w:r>
        <w:t xml:space="preserve">Existence commissioner independent No influence avoidance </w:t>
      </w:r>
      <w:proofErr w:type="gramStart"/>
      <w:r>
        <w:t>tax ,</w:t>
      </w:r>
      <w:proofErr w:type="gramEnd"/>
      <w:r>
        <w:t xml:space="preserve"> although expected increase transparency And accountability . Research show that proportion commissioner existing independent No Enough For reduce practice avoidance tax in a way </w:t>
      </w:r>
      <w:proofErr w:type="gramStart"/>
      <w:r>
        <w:t>effective .</w:t>
      </w:r>
      <w:proofErr w:type="gramEnd"/>
    </w:p>
    <w:p w:rsidR="00177CCB" w:rsidRDefault="00177CCB" w:rsidP="007D471B">
      <w:pPr>
        <w:pStyle w:val="maintextFAITH"/>
        <w:spacing w:line="360" w:lineRule="auto"/>
      </w:pPr>
      <w:r>
        <w:t xml:space="preserve">Audit committee proven influence positive sig against avoidance </w:t>
      </w:r>
      <w:proofErr w:type="gramStart"/>
      <w:r>
        <w:t>tax ,</w:t>
      </w:r>
      <w:proofErr w:type="gramEnd"/>
      <w:r>
        <w:t xml:space="preserve"> with effective audit committee own role important . </w:t>
      </w:r>
      <w:proofErr w:type="gramStart"/>
      <w:r>
        <w:t>in</w:t>
      </w:r>
      <w:proofErr w:type="gramEnd"/>
      <w:r>
        <w:t xml:space="preserve"> push compliance to regulation taxation And increase accuracy report finance . With operate function good </w:t>
      </w:r>
      <w:proofErr w:type="gramStart"/>
      <w:r>
        <w:t>supervision ,</w:t>
      </w:r>
      <w:proofErr w:type="gramEnd"/>
      <w:r>
        <w:t xml:space="preserve"> the audit committee can reduce risk practice avoidance tax , so that add transparency in report finance company .</w:t>
      </w:r>
    </w:p>
    <w:p w:rsidR="00177CCB" w:rsidRDefault="00177CCB" w:rsidP="007D471B">
      <w:pPr>
        <w:pStyle w:val="maintextFAITH"/>
        <w:spacing w:line="360" w:lineRule="auto"/>
      </w:pPr>
      <w:r>
        <w:t>Reporting sustainability No influence sig on avoidance tax , even though the company is active in reporting more responsible answer to obligation taxation , low influence reporting sustainability Possible due to by lack of quality And consistency the information presented .</w:t>
      </w:r>
    </w:p>
    <w:p w:rsidR="00177CCB" w:rsidRDefault="00177CCB" w:rsidP="007D471B">
      <w:pPr>
        <w:pStyle w:val="maintextFAITH"/>
        <w:spacing w:line="360" w:lineRule="auto"/>
      </w:pPr>
      <w:r>
        <w:t xml:space="preserve">Connection political contribute positive to avoidance tax , shows that company with connection near with official government tend more aggressive in avoidance </w:t>
      </w:r>
      <w:proofErr w:type="spellStart"/>
      <w:r>
        <w:t>tax.Strong</w:t>
      </w:r>
      <w:proofErr w:type="spellEnd"/>
      <w:r>
        <w:t xml:space="preserve"> relationship with party political give access to policy profitable taxation , but Also increase risk practice No ethical .</w:t>
      </w:r>
    </w:p>
    <w:p w:rsidR="00177CCB" w:rsidRDefault="00177CCB" w:rsidP="007D471B">
      <w:pPr>
        <w:widowControl w:val="0"/>
        <w:autoSpaceDE w:val="0"/>
        <w:autoSpaceDN w:val="0"/>
        <w:adjustRightInd w:val="0"/>
        <w:spacing w:line="360" w:lineRule="auto"/>
        <w:ind w:left="2610"/>
        <w:rPr>
          <w:rFonts w:eastAsia="Calibri"/>
          <w:noProof w:val="0"/>
          <w:szCs w:val="22"/>
          <w:lang w:eastAsia="en-US"/>
        </w:rPr>
      </w:pPr>
      <w:r>
        <w:rPr>
          <w:rFonts w:eastAsia="Calibri"/>
          <w:noProof w:val="0"/>
          <w:szCs w:val="22"/>
          <w:lang w:eastAsia="en-US"/>
        </w:rPr>
        <w:t xml:space="preserve">7.2 </w:t>
      </w:r>
      <w:r w:rsidRPr="00177CCB">
        <w:rPr>
          <w:rFonts w:eastAsia="Calibri"/>
          <w:noProof w:val="0"/>
          <w:szCs w:val="22"/>
          <w:lang w:eastAsia="en-US"/>
        </w:rPr>
        <w:t>Implications</w:t>
      </w:r>
    </w:p>
    <w:p w:rsidR="00EB04F2" w:rsidRDefault="00EB04F2" w:rsidP="007D471B">
      <w:pPr>
        <w:pStyle w:val="maintextFAITH"/>
        <w:spacing w:line="360" w:lineRule="auto"/>
      </w:pPr>
      <w:r>
        <w:t xml:space="preserve">Commissioner independent functioning as supervisor who ensures that policy tax management in accordance with </w:t>
      </w:r>
      <w:proofErr w:type="gramStart"/>
      <w:r>
        <w:t>regulation ,</w:t>
      </w:r>
      <w:proofErr w:type="gramEnd"/>
      <w:r>
        <w:t xml:space="preserve"> while the audit committee assesses risk And effectiveness system related internal control tax . With strict </w:t>
      </w:r>
      <w:proofErr w:type="gramStart"/>
      <w:r>
        <w:t>supervision ,</w:t>
      </w:r>
      <w:proofErr w:type="gramEnd"/>
      <w:r>
        <w:t xml:space="preserve"> both entity This help prevent practice avoidance aggressive taxation , so that protect company from risk law that can appear consequence non-compliance .</w:t>
      </w:r>
    </w:p>
    <w:p w:rsidR="00EB04F2" w:rsidRDefault="00EB04F2" w:rsidP="007D471B">
      <w:pPr>
        <w:pStyle w:val="maintextFAITH"/>
        <w:spacing w:line="360" w:lineRule="auto"/>
      </w:pPr>
      <w:r>
        <w:t xml:space="preserve">Reporting sustainability can repair image company with show commitment to not quite enough answer social And sustainability through information transparent about impact </w:t>
      </w:r>
      <w:proofErr w:type="gramStart"/>
      <w:r>
        <w:t>social ,</w:t>
      </w:r>
      <w:proofErr w:type="gramEnd"/>
      <w:r>
        <w:t xml:space="preserve"> environmental , and </w:t>
      </w:r>
      <w:proofErr w:type="spellStart"/>
      <w:r>
        <w:t>economy.can</w:t>
      </w:r>
      <w:proofErr w:type="spellEnd"/>
      <w:r>
        <w:t xml:space="preserve"> build trust among caring consumers on issues This is . Also interesting more investor attention choose company with practice business </w:t>
      </w:r>
      <w:proofErr w:type="gramStart"/>
      <w:r>
        <w:t>ethical .</w:t>
      </w:r>
      <w:proofErr w:type="gramEnd"/>
      <w:r>
        <w:t xml:space="preserve"> Besides </w:t>
      </w:r>
      <w:proofErr w:type="gramStart"/>
      <w:r>
        <w:t>that ,</w:t>
      </w:r>
      <w:proofErr w:type="gramEnd"/>
      <w:r>
        <w:t xml:space="preserve"> reporting sustainability help company differentiate self from competitors , strengthen loyalty customers , and increase Power pull brand , making it strategy important For reputation term long .</w:t>
      </w:r>
    </w:p>
    <w:p w:rsidR="00177CCB" w:rsidRPr="00177CCB" w:rsidRDefault="00EB04F2" w:rsidP="007D471B">
      <w:pPr>
        <w:pStyle w:val="maintextFAITH"/>
        <w:spacing w:line="360" w:lineRule="auto"/>
      </w:pPr>
      <w:r>
        <w:t xml:space="preserve">Connection political can influence company in operate activity its operation with open access to opportunity </w:t>
      </w:r>
      <w:proofErr w:type="gramStart"/>
      <w:r>
        <w:t>business ,</w:t>
      </w:r>
      <w:proofErr w:type="gramEnd"/>
      <w:r>
        <w:t xml:space="preserve"> contract government , and support favorable regulation . Good relationship with stakeholders interest political Also help in negotiation And overcome obstacle </w:t>
      </w:r>
      <w:proofErr w:type="gramStart"/>
      <w:r>
        <w:t>administrative .</w:t>
      </w:r>
      <w:proofErr w:type="gramEnd"/>
      <w:r>
        <w:t xml:space="preserve"> </w:t>
      </w:r>
      <w:proofErr w:type="gramStart"/>
      <w:r>
        <w:t>However ,</w:t>
      </w:r>
      <w:proofErr w:type="gramEnd"/>
      <w:r>
        <w:t xml:space="preserve"> the risk appear when company face pressure For do practice No ethical or avoidance tax . By Because </w:t>
      </w:r>
      <w:proofErr w:type="spellStart"/>
      <w:proofErr w:type="gramStart"/>
      <w:r>
        <w:t>that 's</w:t>
      </w:r>
      <w:proofErr w:type="spellEnd"/>
      <w:proofErr w:type="gramEnd"/>
      <w:r>
        <w:t xml:space="preserve"> important for company For balancing benefit connection political with not quite enough answer social And ethics business For guard reputation And sustainability term long .</w:t>
      </w:r>
    </w:p>
    <w:p w:rsidR="00CA4AC7" w:rsidRPr="00FA04F1" w:rsidRDefault="007D471B" w:rsidP="007D471B">
      <w:pPr>
        <w:pStyle w:val="heading1FAITH"/>
        <w:spacing w:before="0" w:after="0" w:line="360" w:lineRule="auto"/>
        <w:ind w:left="0"/>
      </w:pPr>
      <w:proofErr w:type="spellStart"/>
      <w:r>
        <w:lastRenderedPageBreak/>
        <w:t>R</w:t>
      </w:r>
      <w:r w:rsidR="00CA4AC7" w:rsidRPr="00FA04F1">
        <w:t>eferensi</w:t>
      </w:r>
      <w:proofErr w:type="spellEnd"/>
    </w:p>
    <w:p w:rsidR="00EB04F2" w:rsidRDefault="00EB04F2" w:rsidP="007D471B">
      <w:pPr>
        <w:pStyle w:val="ReferencesFAITH"/>
        <w:spacing w:line="360" w:lineRule="auto"/>
      </w:pPr>
      <w:r>
        <w:t>[1</w:t>
      </w:r>
      <w:proofErr w:type="gramStart"/>
      <w:r>
        <w:t>]  A</w:t>
      </w:r>
      <w:proofErr w:type="gramEnd"/>
      <w:r>
        <w:t xml:space="preserve">. </w:t>
      </w:r>
      <w:proofErr w:type="spellStart"/>
      <w:r>
        <w:t>Tirtakusuma</w:t>
      </w:r>
      <w:proofErr w:type="spellEnd"/>
      <w:r>
        <w:t xml:space="preserve"> and R. G. M., “Sustainability Reporting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Kewajiban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: 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Standar</w:t>
      </w:r>
      <w:proofErr w:type="spellEnd"/>
      <w:r>
        <w:t xml:space="preserve"> GRI </w:t>
      </w:r>
      <w:proofErr w:type="spellStart"/>
      <w:r>
        <w:t>dan</w:t>
      </w:r>
      <w:proofErr w:type="spellEnd"/>
      <w:r>
        <w:t xml:space="preserve"> SASB </w:t>
      </w:r>
      <w:proofErr w:type="spellStart"/>
      <w:r>
        <w:t>Pada</w:t>
      </w:r>
      <w:proofErr w:type="spellEnd"/>
      <w:r>
        <w:t xml:space="preserve"> Perusahaan Indonesia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Review,” vol. 4, no. 4, pp. 951–960, 2025.</w:t>
      </w:r>
    </w:p>
    <w:p w:rsidR="00EB04F2" w:rsidRDefault="00EB04F2" w:rsidP="007D471B">
      <w:pPr>
        <w:pStyle w:val="ReferencesFAITH"/>
        <w:spacing w:line="360" w:lineRule="auto"/>
      </w:pPr>
      <w:r>
        <w:t>[2</w:t>
      </w:r>
      <w:proofErr w:type="gramStart"/>
      <w:r>
        <w:t>]  I</w:t>
      </w:r>
      <w:proofErr w:type="gramEnd"/>
      <w:r>
        <w:t xml:space="preserve">. A. Aditya and </w:t>
      </w:r>
      <w:proofErr w:type="spellStart"/>
      <w:r>
        <w:t>Hafid</w:t>
      </w:r>
      <w:proofErr w:type="spellEnd"/>
      <w:r>
        <w:t>, “</w:t>
      </w:r>
      <w:proofErr w:type="spellStart"/>
      <w:r>
        <w:t>Praktek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Keberlanjutan</w:t>
      </w:r>
      <w:proofErr w:type="spellEnd"/>
      <w:r>
        <w:t xml:space="preserve"> Di Indonesia: </w:t>
      </w:r>
      <w:proofErr w:type="spellStart"/>
      <w:r>
        <w:t>Sebuah</w:t>
      </w:r>
      <w:proofErr w:type="spellEnd"/>
      <w:r>
        <w:t xml:space="preserve"> </w:t>
      </w:r>
      <w:proofErr w:type="spellStart"/>
      <w:r>
        <w:t>Telaah</w:t>
      </w:r>
      <w:proofErr w:type="spellEnd"/>
      <w:r>
        <w:t xml:space="preserve"> </w:t>
      </w:r>
      <w:proofErr w:type="spellStart"/>
      <w:r>
        <w:t>Kritis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t>,” JEMAP, vol. 7, Apr. 2024. [Online]. Available: https://doi.org/10.24167/jemap.v7i1.10947</w:t>
      </w:r>
    </w:p>
    <w:p w:rsidR="00EB04F2" w:rsidRDefault="00EB04F2" w:rsidP="007D471B">
      <w:pPr>
        <w:pStyle w:val="ReferencesFAITH"/>
        <w:spacing w:line="360" w:lineRule="auto"/>
      </w:pPr>
      <w:r>
        <w:t xml:space="preserve">[3]  E. Agustina and B. S. </w:t>
      </w:r>
      <w:proofErr w:type="spellStart"/>
      <w:r>
        <w:t>Putri</w:t>
      </w:r>
      <w:proofErr w:type="spellEnd"/>
      <w:r>
        <w:t>, “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Keberlanjutan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Perusahaan,” RAJ, vol. 2, no. 4, pp. 493–499, 2022. [Online]. Available: http://journal.yrpipku.com/index.php/raj</w:t>
      </w:r>
    </w:p>
    <w:p w:rsidR="00EB04F2" w:rsidRDefault="00EB04F2" w:rsidP="007D471B">
      <w:pPr>
        <w:pStyle w:val="ReferencesFAITH"/>
        <w:spacing w:line="360" w:lineRule="auto"/>
      </w:pPr>
      <w:r>
        <w:t>[4]  I. S. Ahmadi and A. Rahman,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Dan Non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Penghindaran</w:t>
      </w:r>
      <w:proofErr w:type="spellEnd"/>
      <w:r>
        <w:t xml:space="preserve"> </w:t>
      </w:r>
      <w:proofErr w:type="spellStart"/>
      <w:r>
        <w:t>Pajak</w:t>
      </w:r>
      <w:proofErr w:type="spellEnd"/>
      <w:r>
        <w:t>,” NCAF, vol. 2, pp. 86–97, 2020. [Online]. Available: https://doi.org/10.20885/ncaf.vol2.art8</w:t>
      </w:r>
    </w:p>
    <w:p w:rsidR="00EB04F2" w:rsidRDefault="00EB04F2" w:rsidP="007D471B">
      <w:pPr>
        <w:pStyle w:val="ReferencesFAITH"/>
        <w:spacing w:line="360" w:lineRule="auto"/>
      </w:pPr>
      <w:r>
        <w:t xml:space="preserve">[5]  F. </w:t>
      </w:r>
      <w:proofErr w:type="spellStart"/>
      <w:r>
        <w:t>Amaliyah</w:t>
      </w:r>
      <w:proofErr w:type="spellEnd"/>
      <w:r>
        <w:t xml:space="preserve"> and E. </w:t>
      </w:r>
      <w:proofErr w:type="spellStart"/>
      <w:r>
        <w:t>Herwiyanti</w:t>
      </w:r>
      <w:proofErr w:type="spellEnd"/>
      <w:r>
        <w:t>,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Institusional</w:t>
      </w:r>
      <w:proofErr w:type="spellEnd"/>
      <w:r>
        <w:t xml:space="preserve">, Dewan </w:t>
      </w:r>
      <w:proofErr w:type="spellStart"/>
      <w:r>
        <w:t>Komisaris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, Dan </w:t>
      </w:r>
      <w:proofErr w:type="spellStart"/>
      <w:r>
        <w:t>Komite</w:t>
      </w:r>
      <w:proofErr w:type="spellEnd"/>
      <w:r>
        <w:t xml:space="preserve"> Audit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Perusahaan </w:t>
      </w:r>
      <w:proofErr w:type="spellStart"/>
      <w:r>
        <w:t>Sektor</w:t>
      </w:r>
      <w:proofErr w:type="spellEnd"/>
      <w:r>
        <w:t xml:space="preserve"> </w:t>
      </w:r>
      <w:proofErr w:type="spellStart"/>
      <w:r>
        <w:t>Pertambangan</w:t>
      </w:r>
      <w:proofErr w:type="spellEnd"/>
      <w:r>
        <w:t xml:space="preserve">,”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Akuntansi</w:t>
      </w:r>
      <w:proofErr w:type="spellEnd"/>
      <w:r>
        <w:t>, vol. 9, no. 3, pp. 187–200, 2019. [Online]. Available: https://doi.org/10.33369/j.akuntansi.9.3.187-200</w:t>
      </w:r>
    </w:p>
    <w:p w:rsidR="00EB04F2" w:rsidRDefault="00EB04F2" w:rsidP="007D471B">
      <w:pPr>
        <w:pStyle w:val="ReferencesFAITH"/>
        <w:spacing w:line="360" w:lineRule="auto"/>
      </w:pPr>
      <w:r>
        <w:t xml:space="preserve">[6]  A. Amanda </w:t>
      </w:r>
      <w:proofErr w:type="spellStart"/>
      <w:r>
        <w:t>Wulansari</w:t>
      </w:r>
      <w:proofErr w:type="spellEnd"/>
      <w:r>
        <w:t xml:space="preserve"> and H. T. </w:t>
      </w:r>
      <w:proofErr w:type="spellStart"/>
      <w:r>
        <w:t>Pohan</w:t>
      </w:r>
      <w:proofErr w:type="spellEnd"/>
      <w:r>
        <w:t>, “</w:t>
      </w:r>
      <w:proofErr w:type="spellStart"/>
      <w:r>
        <w:t>Pengaruh</w:t>
      </w:r>
      <w:proofErr w:type="spellEnd"/>
      <w:r>
        <w:t xml:space="preserve"> Economic Disclosure </w:t>
      </w:r>
      <w:proofErr w:type="spellStart"/>
      <w:r>
        <w:t>Pada</w:t>
      </w:r>
      <w:proofErr w:type="spellEnd"/>
      <w:r>
        <w:t xml:space="preserve"> Sustainability Report Dan Good Corporate Governance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Penghindaran</w:t>
      </w:r>
      <w:proofErr w:type="spellEnd"/>
      <w:r>
        <w:t xml:space="preserve"> </w:t>
      </w:r>
      <w:proofErr w:type="spellStart"/>
      <w:r>
        <w:t>Pajak</w:t>
      </w:r>
      <w:proofErr w:type="spellEnd"/>
      <w:r>
        <w:t xml:space="preserve">,” 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</w:t>
      </w:r>
      <w:proofErr w:type="spellStart"/>
      <w:r>
        <w:t>Trisakti</w:t>
      </w:r>
      <w:proofErr w:type="spellEnd"/>
      <w:r>
        <w:t>, vol. 4, no. 2, pp. 511–520, 2024. [Online]. Available: https://doi.org/10.25105/v4i2.20840</w:t>
      </w:r>
    </w:p>
    <w:p w:rsidR="00EB04F2" w:rsidRDefault="00EB04F2" w:rsidP="007D471B">
      <w:pPr>
        <w:pStyle w:val="ReferencesFAITH"/>
        <w:spacing w:line="360" w:lineRule="auto"/>
      </w:pPr>
      <w:r>
        <w:t>[7</w:t>
      </w:r>
      <w:proofErr w:type="gramStart"/>
      <w:r>
        <w:t>]  A</w:t>
      </w:r>
      <w:proofErr w:type="gramEnd"/>
      <w:r>
        <w:t xml:space="preserve">. R. </w:t>
      </w:r>
      <w:proofErr w:type="spellStart"/>
      <w:r>
        <w:t>Daffa</w:t>
      </w:r>
      <w:proofErr w:type="spellEnd"/>
      <w:r>
        <w:t xml:space="preserve"> and E. </w:t>
      </w:r>
      <w:proofErr w:type="spellStart"/>
      <w:r>
        <w:t>Herwiyanti</w:t>
      </w:r>
      <w:proofErr w:type="spellEnd"/>
      <w:r>
        <w:t>, “</w:t>
      </w:r>
      <w:proofErr w:type="spellStart"/>
      <w:r>
        <w:t>Tinjauan</w:t>
      </w:r>
      <w:proofErr w:type="spellEnd"/>
      <w:r>
        <w:t xml:space="preserve"> </w:t>
      </w:r>
      <w:proofErr w:type="spellStart"/>
      <w:r>
        <w:t>Literatur</w:t>
      </w:r>
      <w:proofErr w:type="spellEnd"/>
      <w:r>
        <w:t xml:space="preserve"> </w:t>
      </w:r>
      <w:proofErr w:type="spellStart"/>
      <w:r>
        <w:t>Prinsip</w:t>
      </w:r>
      <w:proofErr w:type="spellEnd"/>
      <w:r>
        <w:t xml:space="preserve"> Good Corporate Governance (GCG)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</w:t>
      </w:r>
      <w:proofErr w:type="spellStart"/>
      <w:r>
        <w:t>Milik</w:t>
      </w:r>
      <w:proofErr w:type="spellEnd"/>
      <w:r>
        <w:t xml:space="preserve"> Negara Indonesia,” Economics and Digital Business Review, vol. 4, no. 2, pp. 217–230, 2023.</w:t>
      </w:r>
    </w:p>
    <w:p w:rsidR="00EB04F2" w:rsidRDefault="00EB04F2" w:rsidP="007D471B">
      <w:pPr>
        <w:pStyle w:val="ReferencesFAITH"/>
        <w:spacing w:line="360" w:lineRule="auto"/>
      </w:pPr>
      <w:r>
        <w:t xml:space="preserve">[8]  D. P. </w:t>
      </w:r>
      <w:proofErr w:type="spellStart"/>
      <w:r>
        <w:t>Aji</w:t>
      </w:r>
      <w:proofErr w:type="spellEnd"/>
      <w:r>
        <w:t xml:space="preserve">, A. H. </w:t>
      </w:r>
      <w:proofErr w:type="spellStart"/>
      <w:r>
        <w:t>Arrasyid</w:t>
      </w:r>
      <w:proofErr w:type="spellEnd"/>
      <w:r>
        <w:t>, and A. B., “</w:t>
      </w:r>
      <w:proofErr w:type="spellStart"/>
      <w:r>
        <w:t>Peran</w:t>
      </w:r>
      <w:proofErr w:type="spellEnd"/>
      <w:r>
        <w:t xml:space="preserve"> Dan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Komite</w:t>
      </w:r>
      <w:proofErr w:type="spellEnd"/>
      <w:r>
        <w:t xml:space="preserve"> Audit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Pengawasan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Perusahaan,” NJMS, vol. 1, no. 3, pp. 624–633, 2023. [Online]. Available: https://jurnal.intekom.id/index.php/njms</w:t>
      </w:r>
    </w:p>
    <w:p w:rsidR="00EB04F2" w:rsidRDefault="00EB04F2" w:rsidP="007D471B">
      <w:pPr>
        <w:pStyle w:val="ReferencesFAITH"/>
        <w:spacing w:line="360" w:lineRule="auto"/>
      </w:pPr>
      <w:r>
        <w:t>[9</w:t>
      </w:r>
      <w:proofErr w:type="gramStart"/>
      <w:r>
        <w:t>]  E</w:t>
      </w:r>
      <w:proofErr w:type="gramEnd"/>
      <w:r>
        <w:t xml:space="preserve">. W. H. </w:t>
      </w:r>
      <w:proofErr w:type="spellStart"/>
      <w:r>
        <w:t>Budianto</w:t>
      </w:r>
      <w:proofErr w:type="spellEnd"/>
      <w:r>
        <w:t xml:space="preserve"> and N. D. T. D., “</w:t>
      </w:r>
      <w:proofErr w:type="spellStart"/>
      <w:r>
        <w:t>Pemetaan</w:t>
      </w:r>
      <w:proofErr w:type="spellEnd"/>
      <w:r>
        <w:t xml:space="preserve"> </w:t>
      </w:r>
      <w:proofErr w:type="spellStart"/>
      <w:r>
        <w:t>Topik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Seputar</w:t>
      </w:r>
      <w:proofErr w:type="spellEnd"/>
      <w:r>
        <w:t xml:space="preserve"> CSR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Perbankan</w:t>
      </w:r>
      <w:proofErr w:type="spellEnd"/>
      <w:r>
        <w:t xml:space="preserve"> </w:t>
      </w:r>
      <w:proofErr w:type="spellStart"/>
      <w:r>
        <w:t>Syariah</w:t>
      </w:r>
      <w:proofErr w:type="spellEnd"/>
      <w:r>
        <w:t xml:space="preserve"> Dan </w:t>
      </w:r>
      <w:proofErr w:type="spellStart"/>
      <w:r>
        <w:t>Konvensional</w:t>
      </w:r>
      <w:proofErr w:type="spellEnd"/>
      <w:r>
        <w:t xml:space="preserve">: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Bibliometrik</w:t>
      </w:r>
      <w:proofErr w:type="spellEnd"/>
      <w:r>
        <w:t>,” 2022.</w:t>
      </w:r>
    </w:p>
    <w:p w:rsidR="00EB04F2" w:rsidRDefault="00EB04F2" w:rsidP="007D471B">
      <w:pPr>
        <w:pStyle w:val="ReferencesFAITH"/>
        <w:spacing w:line="360" w:lineRule="auto"/>
      </w:pPr>
      <w:r>
        <w:t xml:space="preserve">[10] F. R. </w:t>
      </w:r>
      <w:proofErr w:type="spellStart"/>
      <w:r>
        <w:t>Ngabdillah</w:t>
      </w:r>
      <w:proofErr w:type="spellEnd"/>
      <w:r>
        <w:t xml:space="preserve">, B. C. </w:t>
      </w:r>
      <w:proofErr w:type="spellStart"/>
      <w:r>
        <w:t>Pratama</w:t>
      </w:r>
      <w:proofErr w:type="spellEnd"/>
      <w:r>
        <w:t xml:space="preserve">, N. </w:t>
      </w:r>
      <w:proofErr w:type="spellStart"/>
      <w:r>
        <w:t>Dirgantari</w:t>
      </w:r>
      <w:proofErr w:type="spellEnd"/>
      <w:r>
        <w:t>, and H. W.,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Koneksi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, </w:t>
      </w:r>
      <w:proofErr w:type="spellStart"/>
      <w:r>
        <w:t>Komisaris</w:t>
      </w:r>
      <w:proofErr w:type="spellEnd"/>
      <w:r>
        <w:t xml:space="preserve"> </w:t>
      </w:r>
      <w:proofErr w:type="spellStart"/>
      <w:r>
        <w:t>Independen</w:t>
      </w:r>
      <w:proofErr w:type="spellEnd"/>
      <w:r>
        <w:t xml:space="preserve">, </w:t>
      </w:r>
      <w:proofErr w:type="spellStart"/>
      <w:r>
        <w:t>Kualitas</w:t>
      </w:r>
      <w:proofErr w:type="spellEnd"/>
      <w:r>
        <w:t xml:space="preserve"> Audit,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Komite</w:t>
      </w:r>
      <w:proofErr w:type="spellEnd"/>
      <w:r>
        <w:t xml:space="preserve"> Audit </w:t>
      </w:r>
      <w:proofErr w:type="spellStart"/>
      <w:r>
        <w:t>Terhadap</w:t>
      </w:r>
      <w:proofErr w:type="spellEnd"/>
      <w:r>
        <w:t xml:space="preserve"> Tax Avoidance,” vol. 16, no. 1, pp. 1–16, 2022.</w:t>
      </w:r>
    </w:p>
    <w:p w:rsidR="00EB04F2" w:rsidRDefault="00EB04F2" w:rsidP="007D471B">
      <w:pPr>
        <w:pStyle w:val="ReferencesFAITH"/>
        <w:spacing w:line="360" w:lineRule="auto"/>
      </w:pPr>
      <w:r>
        <w:t xml:space="preserve">[11] Y. </w:t>
      </w:r>
      <w:proofErr w:type="spellStart"/>
      <w:r>
        <w:t>Fitiasari</w:t>
      </w:r>
      <w:proofErr w:type="spellEnd"/>
      <w:r>
        <w:t xml:space="preserve"> and S. S. </w:t>
      </w:r>
      <w:proofErr w:type="spellStart"/>
      <w:r>
        <w:t>Suwandi</w:t>
      </w:r>
      <w:proofErr w:type="spellEnd"/>
      <w:r>
        <w:t>, “</w:t>
      </w:r>
      <w:proofErr w:type="spellStart"/>
      <w:r>
        <w:t>Peran</w:t>
      </w:r>
      <w:proofErr w:type="spellEnd"/>
      <w:r>
        <w:t xml:space="preserve"> </w:t>
      </w:r>
      <w:proofErr w:type="spellStart"/>
      <w:r>
        <w:t>Koneksi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Profitabilitas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Penghindaran</w:t>
      </w:r>
      <w:proofErr w:type="spellEnd"/>
      <w:r>
        <w:t xml:space="preserve"> </w:t>
      </w:r>
      <w:proofErr w:type="spellStart"/>
      <w:r>
        <w:t>Pajak</w:t>
      </w:r>
      <w:proofErr w:type="spellEnd"/>
      <w:r>
        <w:t>,” JIATAX, vol. 3, no. 1, p. 17, 2020. [Online]. Available: https://doi.org/10.30587/jiatax.v3i1.986</w:t>
      </w:r>
    </w:p>
    <w:p w:rsidR="00EB04F2" w:rsidRDefault="00EB04F2" w:rsidP="007D471B">
      <w:pPr>
        <w:pStyle w:val="ReferencesFAITH"/>
        <w:spacing w:line="360" w:lineRule="auto"/>
      </w:pPr>
      <w:r>
        <w:t xml:space="preserve">[12] E. O. D. </w:t>
      </w:r>
      <w:proofErr w:type="spellStart"/>
      <w:r>
        <w:t>Gozali</w:t>
      </w:r>
      <w:proofErr w:type="spellEnd"/>
      <w:r>
        <w:t xml:space="preserve">, R. S. </w:t>
      </w:r>
      <w:proofErr w:type="spellStart"/>
      <w:r>
        <w:t>Hamzah</w:t>
      </w:r>
      <w:proofErr w:type="spellEnd"/>
      <w:r>
        <w:t xml:space="preserve">, and C. N. </w:t>
      </w:r>
      <w:proofErr w:type="spellStart"/>
      <w:r>
        <w:t>Pratiwi</w:t>
      </w:r>
      <w:proofErr w:type="spellEnd"/>
      <w:r>
        <w:t>, “</w:t>
      </w:r>
      <w:proofErr w:type="spellStart"/>
      <w:r>
        <w:t>Peran</w:t>
      </w:r>
      <w:proofErr w:type="spellEnd"/>
      <w:r>
        <w:t xml:space="preserve"> Good Corporate Governance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Perbankan</w:t>
      </w:r>
      <w:proofErr w:type="spellEnd"/>
      <w:r>
        <w:t>,” Nominal, vol. 11, no. 1, pp. 122–140, 2022. [Online]. Available: https://doi.org/10.21831/nominal.v11i1.43908</w:t>
      </w:r>
    </w:p>
    <w:p w:rsidR="00EB04F2" w:rsidRDefault="00EB04F2" w:rsidP="007D471B">
      <w:pPr>
        <w:pStyle w:val="ReferencesFAITH"/>
        <w:spacing w:line="360" w:lineRule="auto"/>
      </w:pPr>
      <w:r>
        <w:t xml:space="preserve">[13] T. </w:t>
      </w:r>
      <w:proofErr w:type="spellStart"/>
      <w:r>
        <w:t>Harahap</w:t>
      </w:r>
      <w:proofErr w:type="spellEnd"/>
      <w:r>
        <w:t xml:space="preserve"> and R. A. </w:t>
      </w:r>
      <w:proofErr w:type="spellStart"/>
      <w:r>
        <w:t>Ritonga</w:t>
      </w:r>
      <w:proofErr w:type="spellEnd"/>
      <w:r>
        <w:t>, “</w:t>
      </w:r>
      <w:proofErr w:type="spellStart"/>
      <w:r>
        <w:t>Peran</w:t>
      </w:r>
      <w:proofErr w:type="spellEnd"/>
      <w:r>
        <w:t xml:space="preserve"> Good Corporate Governance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Transparansi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>,” vol. 2, no. 2, pp. 353–360, 2024.</w:t>
      </w:r>
    </w:p>
    <w:p w:rsidR="00EB04F2" w:rsidRDefault="00EB04F2" w:rsidP="007D471B">
      <w:pPr>
        <w:pStyle w:val="ReferencesFAITH"/>
        <w:spacing w:line="360" w:lineRule="auto"/>
      </w:pPr>
      <w:r>
        <w:t xml:space="preserve">[14] R. Y. </w:t>
      </w:r>
      <w:proofErr w:type="spellStart"/>
      <w:r>
        <w:t>Hardiono</w:t>
      </w:r>
      <w:proofErr w:type="spellEnd"/>
      <w:r>
        <w:t xml:space="preserve">, F. R. </w:t>
      </w:r>
      <w:proofErr w:type="spellStart"/>
      <w:r>
        <w:t>Mahendra</w:t>
      </w:r>
      <w:proofErr w:type="spellEnd"/>
      <w:r>
        <w:t xml:space="preserve">, M. I. </w:t>
      </w:r>
      <w:proofErr w:type="spellStart"/>
      <w:r>
        <w:t>Paleva</w:t>
      </w:r>
      <w:proofErr w:type="spellEnd"/>
      <w:r>
        <w:t>, and I. N. Noor, “</w:t>
      </w:r>
      <w:proofErr w:type="spellStart"/>
      <w:r>
        <w:t>Pengaruh</w:t>
      </w:r>
      <w:proofErr w:type="spellEnd"/>
      <w:r>
        <w:t xml:space="preserve"> Tata </w:t>
      </w:r>
      <w:proofErr w:type="spellStart"/>
      <w:r>
        <w:t>Kelola</w:t>
      </w:r>
      <w:proofErr w:type="spellEnd"/>
      <w:r>
        <w:t xml:space="preserve"> Perusahaan, </w:t>
      </w:r>
      <w:proofErr w:type="spellStart"/>
      <w:r>
        <w:t>Pelaporan</w:t>
      </w:r>
      <w:proofErr w:type="spellEnd"/>
      <w:r>
        <w:t xml:space="preserve"> </w:t>
      </w:r>
      <w:proofErr w:type="spellStart"/>
      <w:r>
        <w:t>Keberlanjutan</w:t>
      </w:r>
      <w:proofErr w:type="spellEnd"/>
      <w:r>
        <w:t xml:space="preserve">, Dan </w:t>
      </w:r>
      <w:proofErr w:type="spellStart"/>
      <w:r>
        <w:t>Koneksi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Penghindaran</w:t>
      </w:r>
      <w:proofErr w:type="spellEnd"/>
      <w:r>
        <w:t xml:space="preserve"> </w:t>
      </w:r>
      <w:proofErr w:type="spellStart"/>
      <w:r>
        <w:t>Pajak</w:t>
      </w:r>
      <w:proofErr w:type="spellEnd"/>
      <w:r>
        <w:t>,” JSA, vol. 5, no. 8, pp. 2873–2886, 2024. [Online]. Available: https://doi.org/10.46799/jsa.v5i8.1409</w:t>
      </w:r>
    </w:p>
    <w:p w:rsidR="00EB04F2" w:rsidRDefault="00EB04F2" w:rsidP="007D471B">
      <w:pPr>
        <w:pStyle w:val="ReferencesFAITH"/>
        <w:spacing w:line="360" w:lineRule="auto"/>
      </w:pPr>
      <w:r>
        <w:t>[15] Hasan, *</w:t>
      </w:r>
      <w:proofErr w:type="spellStart"/>
      <w:r>
        <w:t>Dasar-dasar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>*, Yogyakarta, 2015.</w:t>
      </w:r>
    </w:p>
    <w:p w:rsidR="00EB04F2" w:rsidRDefault="00EB04F2" w:rsidP="007D471B">
      <w:pPr>
        <w:pStyle w:val="ReferencesFAITH"/>
        <w:spacing w:line="360" w:lineRule="auto"/>
      </w:pPr>
      <w:r>
        <w:t xml:space="preserve">[16] I. </w:t>
      </w:r>
      <w:proofErr w:type="spellStart"/>
      <w:r>
        <w:t>Siahaan</w:t>
      </w:r>
      <w:proofErr w:type="spellEnd"/>
      <w:r>
        <w:t>, R. A. S. Surya, and A. Z.,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Opini</w:t>
      </w:r>
      <w:proofErr w:type="spellEnd"/>
      <w:r>
        <w:t xml:space="preserve"> Audit, </w:t>
      </w:r>
      <w:proofErr w:type="spellStart"/>
      <w:r>
        <w:t>Pergantian</w:t>
      </w:r>
      <w:proofErr w:type="spellEnd"/>
      <w:r>
        <w:t xml:space="preserve"> Auditor, </w:t>
      </w:r>
      <w:proofErr w:type="spellStart"/>
      <w:r>
        <w:t>Kesulitan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, Dan </w:t>
      </w:r>
      <w:proofErr w:type="spellStart"/>
      <w:r>
        <w:t>Efektivitas</w:t>
      </w:r>
      <w:proofErr w:type="spellEnd"/>
      <w:r>
        <w:t xml:space="preserve"> </w:t>
      </w:r>
      <w:proofErr w:type="spellStart"/>
      <w:r>
        <w:t>Komite</w:t>
      </w:r>
      <w:proofErr w:type="spellEnd"/>
      <w:r>
        <w:t xml:space="preserve"> Audit </w:t>
      </w:r>
      <w:proofErr w:type="spellStart"/>
      <w:r>
        <w:t>Terhadap</w:t>
      </w:r>
      <w:proofErr w:type="spellEnd"/>
      <w:r>
        <w:t xml:space="preserve"> Audit Delay,” vol. 12, no. 2, pp. 135–144, 2019.</w:t>
      </w:r>
    </w:p>
    <w:p w:rsidR="00EB04F2" w:rsidRDefault="00EB04F2" w:rsidP="007D471B">
      <w:pPr>
        <w:pStyle w:val="ReferencesFAITH"/>
        <w:spacing w:line="360" w:lineRule="auto"/>
      </w:pPr>
      <w:r>
        <w:t xml:space="preserve">[17] K. Julian and T. </w:t>
      </w:r>
      <w:proofErr w:type="spellStart"/>
      <w:r>
        <w:t>Zega</w:t>
      </w:r>
      <w:proofErr w:type="spellEnd"/>
      <w:r>
        <w:t xml:space="preserve">, “Tata </w:t>
      </w:r>
      <w:proofErr w:type="spellStart"/>
      <w:r>
        <w:t>Kelola</w:t>
      </w:r>
      <w:proofErr w:type="spellEnd"/>
      <w:r>
        <w:t xml:space="preserve"> Perusahaan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Mitigasi</w:t>
      </w:r>
      <w:proofErr w:type="spellEnd"/>
      <w:r>
        <w:t xml:space="preserve"> </w:t>
      </w:r>
      <w:proofErr w:type="spellStart"/>
      <w:r>
        <w:t>Risiko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Organisasi</w:t>
      </w:r>
      <w:proofErr w:type="spellEnd"/>
      <w:r>
        <w:t>,” pp. 117–130, 2023. [Online]. Available: https://doi.org/10.33541/mr.v3i2.5050</w:t>
      </w:r>
    </w:p>
    <w:p w:rsidR="00EB04F2" w:rsidRDefault="00EB04F2" w:rsidP="007D471B">
      <w:pPr>
        <w:pStyle w:val="ReferencesFAITH"/>
        <w:spacing w:line="360" w:lineRule="auto"/>
      </w:pPr>
      <w:r>
        <w:t xml:space="preserve">[18] N. </w:t>
      </w:r>
      <w:proofErr w:type="spellStart"/>
      <w:r>
        <w:t>Khomsiyah</w:t>
      </w:r>
      <w:proofErr w:type="spellEnd"/>
      <w:r>
        <w:t xml:space="preserve">, N. </w:t>
      </w:r>
      <w:proofErr w:type="spellStart"/>
      <w:r>
        <w:t>Muttaqiin</w:t>
      </w:r>
      <w:proofErr w:type="spellEnd"/>
      <w:r>
        <w:t xml:space="preserve">, and P. </w:t>
      </w:r>
      <w:proofErr w:type="spellStart"/>
      <w:r>
        <w:t>Katias</w:t>
      </w:r>
      <w:proofErr w:type="spellEnd"/>
      <w:r>
        <w:t>,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Profitabilitas</w:t>
      </w:r>
      <w:proofErr w:type="spellEnd"/>
      <w:r>
        <w:t xml:space="preserve">, Tata </w:t>
      </w:r>
      <w:proofErr w:type="spellStart"/>
      <w:r>
        <w:t>Kelola</w:t>
      </w:r>
      <w:proofErr w:type="spellEnd"/>
      <w:r>
        <w:t xml:space="preserve"> Perusahaan, Leverage, </w:t>
      </w:r>
      <w:proofErr w:type="spellStart"/>
      <w:r>
        <w:t>Ukuran</w:t>
      </w:r>
      <w:proofErr w:type="spellEnd"/>
      <w:r>
        <w:t xml:space="preserve"> Perusahaan, Dan </w:t>
      </w:r>
      <w:proofErr w:type="spellStart"/>
      <w:r>
        <w:t>Pertumbuhan</w:t>
      </w:r>
      <w:proofErr w:type="spellEnd"/>
      <w:r>
        <w:t xml:space="preserve"> </w:t>
      </w:r>
      <w:proofErr w:type="spellStart"/>
      <w:r>
        <w:t>Penjualan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Penghindaran</w:t>
      </w:r>
      <w:proofErr w:type="spellEnd"/>
      <w:r>
        <w:t xml:space="preserve"> </w:t>
      </w:r>
      <w:proofErr w:type="spellStart"/>
      <w:r>
        <w:t>Pajak</w:t>
      </w:r>
      <w:proofErr w:type="spellEnd"/>
      <w:r>
        <w:t>,” Ecopreneur.12, vol. 4, no. 1, p. 1, 2021. [Online]. Available: https://doi.org/10.51804/econ12.v4i1.917</w:t>
      </w:r>
    </w:p>
    <w:p w:rsidR="00EB04F2" w:rsidRDefault="00EB04F2" w:rsidP="007D471B">
      <w:pPr>
        <w:pStyle w:val="ReferencesFAITH"/>
        <w:spacing w:line="360" w:lineRule="auto"/>
      </w:pPr>
      <w:r>
        <w:lastRenderedPageBreak/>
        <w:t xml:space="preserve">[19] L. P. </w:t>
      </w:r>
      <w:proofErr w:type="spellStart"/>
      <w:r>
        <w:t>Maidina</w:t>
      </w:r>
      <w:proofErr w:type="spellEnd"/>
      <w:r>
        <w:t xml:space="preserve"> and L. N. W.,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Koneksi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, Good Corporate Governance Dan </w:t>
      </w:r>
      <w:proofErr w:type="spellStart"/>
      <w:r>
        <w:t>Kinerja</w:t>
      </w:r>
      <w:proofErr w:type="spellEnd"/>
      <w:r>
        <w:t xml:space="preserve"> </w:t>
      </w:r>
      <w:proofErr w:type="spellStart"/>
      <w:r>
        <w:t>Keuangan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Tax Avoidance,” vol. 9, no. 2, pp. 118–131, 2020. [Online]. Available: http://ejournal.stiemj.ac.id/index.php/akuntansi</w:t>
      </w:r>
    </w:p>
    <w:p w:rsidR="00CA4AC7" w:rsidRDefault="00EB04F2" w:rsidP="007D471B">
      <w:pPr>
        <w:pStyle w:val="ReferencesFAITH"/>
        <w:spacing w:line="360" w:lineRule="auto"/>
      </w:pPr>
      <w:r>
        <w:t xml:space="preserve">[20] L. </w:t>
      </w:r>
      <w:proofErr w:type="spellStart"/>
      <w:r>
        <w:t>Maulina</w:t>
      </w:r>
      <w:proofErr w:type="spellEnd"/>
      <w:r>
        <w:t xml:space="preserve"> and S. </w:t>
      </w:r>
      <w:proofErr w:type="spellStart"/>
      <w:r>
        <w:t>Mu’arif</w:t>
      </w:r>
      <w:proofErr w:type="spellEnd"/>
      <w:r>
        <w:t>, “</w:t>
      </w:r>
      <w:proofErr w:type="spellStart"/>
      <w:r>
        <w:t>Pengaruh</w:t>
      </w:r>
      <w:proofErr w:type="spellEnd"/>
      <w:r>
        <w:t xml:space="preserve"> </w:t>
      </w:r>
      <w:proofErr w:type="spellStart"/>
      <w:r>
        <w:t>Kepemilikan</w:t>
      </w:r>
      <w:proofErr w:type="spellEnd"/>
      <w:r>
        <w:t xml:space="preserve"> </w:t>
      </w:r>
      <w:proofErr w:type="spellStart"/>
      <w:r>
        <w:t>Institusional</w:t>
      </w:r>
      <w:proofErr w:type="spellEnd"/>
      <w:r>
        <w:t xml:space="preserve">, </w:t>
      </w:r>
      <w:proofErr w:type="spellStart"/>
      <w:r>
        <w:t>Karakter</w:t>
      </w:r>
      <w:proofErr w:type="spellEnd"/>
      <w:r>
        <w:t xml:space="preserve"> </w:t>
      </w:r>
      <w:proofErr w:type="spellStart"/>
      <w:r>
        <w:t>Eksekutif</w:t>
      </w:r>
      <w:proofErr w:type="spellEnd"/>
      <w:r>
        <w:t xml:space="preserve"> Dan </w:t>
      </w:r>
      <w:proofErr w:type="spellStart"/>
      <w:r>
        <w:t>Koneksi</w:t>
      </w:r>
      <w:proofErr w:type="spellEnd"/>
      <w:r>
        <w:t xml:space="preserve"> </w:t>
      </w:r>
      <w:proofErr w:type="spellStart"/>
      <w:r>
        <w:t>Politik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Tax Avoidance,” </w:t>
      </w:r>
      <w:proofErr w:type="spellStart"/>
      <w:r>
        <w:t>Laras</w:t>
      </w:r>
      <w:proofErr w:type="spellEnd"/>
      <w:r>
        <w:t>, vol. 1, no. 4, pp. 01–13, 2024. [Online]. Available: https://doi.org/10.61722/jemba.v1i4.436</w:t>
      </w:r>
    </w:p>
    <w:sectPr w:rsidR="00CA4AC7" w:rsidSect="0088373D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417" w:right="720" w:bottom="1077" w:left="720" w:header="1020" w:footer="340" w:gutter="0"/>
      <w:pgNumType w:start="253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650" w:rsidRDefault="00941650">
      <w:pPr>
        <w:spacing w:line="240" w:lineRule="auto"/>
      </w:pPr>
      <w:r>
        <w:separator/>
      </w:r>
    </w:p>
  </w:endnote>
  <w:endnote w:type="continuationSeparator" w:id="0">
    <w:p w:rsidR="00941650" w:rsidRDefault="00941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AC7" w:rsidRPr="00662153" w:rsidRDefault="00CA4AC7" w:rsidP="00CA4AC7">
    <w:pPr>
      <w:pStyle w:val="Footer"/>
      <w:spacing w:line="240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AC7" w:rsidRDefault="00CA4AC7" w:rsidP="00CA4AC7">
    <w:pPr>
      <w:pBdr>
        <w:top w:val="single" w:sz="4" w:space="0" w:color="000000"/>
      </w:pBdr>
      <w:tabs>
        <w:tab w:val="right" w:pos="8844"/>
      </w:tabs>
      <w:adjustRightInd w:val="0"/>
      <w:snapToGrid w:val="0"/>
      <w:spacing w:before="480" w:line="100" w:lineRule="exact"/>
      <w:jc w:val="left"/>
      <w:rPr>
        <w:i/>
        <w:sz w:val="16"/>
        <w:szCs w:val="16"/>
      </w:rPr>
    </w:pPr>
  </w:p>
  <w:p w:rsidR="00CA4AC7" w:rsidRPr="00372FCD" w:rsidRDefault="00CA4AC7" w:rsidP="007D471B">
    <w:pPr>
      <w:tabs>
        <w:tab w:val="right" w:pos="10466"/>
      </w:tabs>
      <w:adjustRightInd w:val="0"/>
      <w:snapToGrid w:val="0"/>
      <w:spacing w:line="240" w:lineRule="auto"/>
      <w:rPr>
        <w:sz w:val="16"/>
        <w:szCs w:val="16"/>
        <w:lang w:val="fr-CH"/>
      </w:rPr>
    </w:pPr>
    <w:r w:rsidRPr="001222BF">
      <w:rPr>
        <w:bCs/>
        <w:iCs/>
        <w:sz w:val="16"/>
        <w:szCs w:val="16"/>
      </w:rPr>
      <w:t xml:space="preserve">DOI : </w:t>
    </w:r>
    <w:hyperlink r:id="rId1" w:history="1">
      <w:r w:rsidRPr="007D471B">
        <w:rPr>
          <w:rStyle w:val="Hyperlink"/>
          <w:bCs/>
          <w:iCs/>
          <w:sz w:val="16"/>
          <w:szCs w:val="16"/>
        </w:rPr>
        <w:t>https://doi.org/10.55606/ijemr.v4i1.30</w:t>
      </w:r>
      <w:r w:rsidR="007D471B" w:rsidRPr="007D471B">
        <w:rPr>
          <w:rStyle w:val="Hyperlink"/>
          <w:bCs/>
          <w:iCs/>
          <w:sz w:val="16"/>
          <w:szCs w:val="16"/>
        </w:rPr>
        <w:t>7</w:t>
      </w:r>
    </w:hyperlink>
    <w:r w:rsidRPr="00372FCD">
      <w:rPr>
        <w:sz w:val="16"/>
        <w:szCs w:val="16"/>
        <w:lang w:val="fr-CH"/>
      </w:rPr>
      <w:tab/>
    </w:r>
    <w:hyperlink r:id="rId2" w:history="1">
      <w:r w:rsidRPr="00742323">
        <w:rPr>
          <w:rStyle w:val="Hyperlink"/>
          <w:sz w:val="16"/>
          <w:szCs w:val="16"/>
          <w:lang w:val="fr-CH"/>
        </w:rPr>
        <w:t>https://ijemr.asia/index.php/ijemr</w:t>
      </w:r>
    </w:hyperlink>
    <w:r>
      <w:rPr>
        <w:sz w:val="16"/>
        <w:szCs w:val="16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650" w:rsidRDefault="00941650">
      <w:pPr>
        <w:spacing w:line="240" w:lineRule="auto"/>
      </w:pPr>
      <w:r>
        <w:separator/>
      </w:r>
    </w:p>
  </w:footnote>
  <w:footnote w:type="continuationSeparator" w:id="0">
    <w:p w:rsidR="00941650" w:rsidRDefault="00941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AC7" w:rsidRDefault="00CA4AC7" w:rsidP="00CA4AC7">
    <w:pPr>
      <w:pStyle w:val="Header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AC7" w:rsidRDefault="00CA4AC7" w:rsidP="00402BE4">
    <w:pPr>
      <w:tabs>
        <w:tab w:val="right" w:pos="10466"/>
      </w:tabs>
      <w:adjustRightInd w:val="0"/>
      <w:snapToGrid w:val="0"/>
      <w:spacing w:line="240" w:lineRule="auto"/>
      <w:rPr>
        <w:sz w:val="16"/>
      </w:rPr>
    </w:pPr>
    <w:r w:rsidRPr="009D48DC">
      <w:rPr>
        <w:iCs/>
        <w:sz w:val="16"/>
      </w:rPr>
      <w:t>International Journal of Economics and Management Research</w:t>
    </w:r>
    <w:r>
      <w:rPr>
        <w:iCs/>
        <w:sz w:val="16"/>
      </w:rPr>
      <w:t xml:space="preserve"> </w:t>
    </w:r>
    <w:r w:rsidRPr="00CB6ABD">
      <w:rPr>
        <w:iCs/>
        <w:sz w:val="16"/>
      </w:rPr>
      <w:t xml:space="preserve">2025 </w:t>
    </w:r>
    <w:r w:rsidRPr="00D90E3A">
      <w:rPr>
        <w:iCs/>
        <w:sz w:val="16"/>
      </w:rPr>
      <w:t>(</w:t>
    </w:r>
    <w:r>
      <w:rPr>
        <w:iCs/>
        <w:sz w:val="16"/>
      </w:rPr>
      <w:t>April</w:t>
    </w:r>
    <w:r w:rsidRPr="00D90E3A">
      <w:rPr>
        <w:iCs/>
        <w:sz w:val="16"/>
      </w:rPr>
      <w:t xml:space="preserve">), vol. </w:t>
    </w:r>
    <w:r>
      <w:rPr>
        <w:iCs/>
        <w:sz w:val="16"/>
      </w:rPr>
      <w:t>4</w:t>
    </w:r>
    <w:r w:rsidRPr="00D90E3A">
      <w:rPr>
        <w:iCs/>
        <w:sz w:val="16"/>
      </w:rPr>
      <w:t xml:space="preserve">, no. </w:t>
    </w:r>
    <w:r>
      <w:rPr>
        <w:iCs/>
        <w:sz w:val="16"/>
      </w:rPr>
      <w:t>1</w:t>
    </w:r>
    <w:r w:rsidRPr="00D90E3A">
      <w:rPr>
        <w:iCs/>
        <w:sz w:val="16"/>
      </w:rPr>
      <w:t xml:space="preserve">, </w:t>
    </w:r>
    <w:r w:rsidR="00402BE4" w:rsidRPr="00402BE4">
      <w:rPr>
        <w:iCs/>
        <w:sz w:val="16"/>
      </w:rPr>
      <w:t>Indarwati</w:t>
    </w:r>
    <w:r w:rsidRPr="00D90E3A">
      <w:rPr>
        <w:iCs/>
        <w:sz w:val="16"/>
      </w:rPr>
      <w:t>, et al.</w:t>
    </w:r>
    <w:r w:rsidRPr="00CB6ABD">
      <w:rPr>
        <w:iCs/>
        <w:sz w:val="16"/>
      </w:rPr>
      <w:t xml:space="preserve"> </w:t>
    </w:r>
    <w:r>
      <w:rPr>
        <w:sz w:val="16"/>
      </w:rPr>
      <w:tab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282756">
      <w:rPr>
        <w:sz w:val="16"/>
      </w:rPr>
      <w:t>265</w:t>
    </w:r>
    <w:r>
      <w:rPr>
        <w:sz w:val="16"/>
      </w:rPr>
      <w:fldChar w:fldCharType="end"/>
    </w:r>
    <w:r>
      <w:rPr>
        <w:sz w:val="16"/>
      </w:rPr>
      <w:t xml:space="preserve"> dari </w:t>
    </w:r>
    <w:r>
      <w:rPr>
        <w:sz w:val="16"/>
      </w:rPr>
      <w:fldChar w:fldCharType="begin"/>
    </w:r>
    <w:r>
      <w:rPr>
        <w:sz w:val="16"/>
      </w:rPr>
      <w:instrText xml:space="preserve"> NUMPAGES   \* MERGEFORMAT </w:instrText>
    </w:r>
    <w:r>
      <w:rPr>
        <w:sz w:val="16"/>
      </w:rPr>
      <w:fldChar w:fldCharType="separate"/>
    </w:r>
    <w:r w:rsidR="00282756">
      <w:rPr>
        <w:sz w:val="16"/>
      </w:rPr>
      <w:t>13</w:t>
    </w:r>
    <w:r>
      <w:rPr>
        <w:sz w:val="16"/>
      </w:rPr>
      <w:fldChar w:fldCharType="end"/>
    </w:r>
  </w:p>
  <w:p w:rsidR="00CA4AC7" w:rsidRPr="00DF2C63" w:rsidRDefault="00CA4AC7" w:rsidP="00CA4AC7">
    <w:pPr>
      <w:pBdr>
        <w:bottom w:val="single" w:sz="4" w:space="1" w:color="000000"/>
      </w:pBdr>
      <w:tabs>
        <w:tab w:val="right" w:pos="8844"/>
      </w:tabs>
      <w:adjustRightInd w:val="0"/>
      <w:snapToGrid w:val="0"/>
      <w:spacing w:after="480" w:line="100" w:lineRule="exact"/>
      <w:jc w:val="left"/>
      <w:rPr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27"/>
      <w:gridCol w:w="6520"/>
      <w:gridCol w:w="1843"/>
    </w:tblGrid>
    <w:tr w:rsidR="00CA4AC7" w:rsidRPr="00EB5093" w:rsidTr="00CA4AC7">
      <w:trPr>
        <w:trHeight w:val="1276"/>
      </w:trPr>
      <w:tc>
        <w:tcPr>
          <w:tcW w:w="2127" w:type="dxa"/>
          <w:shd w:val="clear" w:color="auto" w:fill="auto"/>
          <w:vAlign w:val="center"/>
        </w:tcPr>
        <w:p w:rsidR="00CA4AC7" w:rsidRPr="003C6618" w:rsidRDefault="00CA4AC7" w:rsidP="00CA4AC7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jc w:val="left"/>
            <w:rPr>
              <w:rFonts w:eastAsia="DengXian"/>
              <w:b w:val="0"/>
              <w:bCs/>
            </w:rPr>
          </w:pPr>
          <w:r>
            <w:rPr>
              <w:rFonts w:eastAsia="DengXian"/>
              <w:b w:val="0"/>
              <w:bCs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05519E72" wp14:editId="273835A3">
                <wp:simplePos x="0" y="0"/>
                <wp:positionH relativeFrom="column">
                  <wp:posOffset>76200</wp:posOffset>
                </wp:positionH>
                <wp:positionV relativeFrom="paragraph">
                  <wp:posOffset>109855</wp:posOffset>
                </wp:positionV>
                <wp:extent cx="1209675" cy="432435"/>
                <wp:effectExtent l="0" t="0" r="9525" b="5715"/>
                <wp:wrapNone/>
                <wp:docPr id="69898875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8988757" name="Picture 698988757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432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0" w:type="dxa"/>
          <w:shd w:val="clear" w:color="auto" w:fill="auto"/>
          <w:vAlign w:val="center"/>
        </w:tcPr>
        <w:p w:rsidR="00CA4AC7" w:rsidRPr="002F6949" w:rsidRDefault="00CA4AC7" w:rsidP="00CA4AC7">
          <w:pPr>
            <w:pStyle w:val="Header"/>
            <w:pBdr>
              <w:bottom w:val="none" w:sz="0" w:space="0" w:color="auto"/>
            </w:pBdr>
            <w:tabs>
              <w:tab w:val="clear" w:pos="4153"/>
              <w:tab w:val="clear" w:pos="8306"/>
            </w:tabs>
            <w:ind w:left="-5"/>
            <w:rPr>
              <w:rFonts w:eastAsia="DengXian"/>
              <w:sz w:val="36"/>
              <w:szCs w:val="36"/>
            </w:rPr>
          </w:pPr>
          <w:r w:rsidRPr="009D48DC">
            <w:rPr>
              <w:rFonts w:eastAsia="DengXian"/>
              <w:color w:val="auto"/>
              <w:sz w:val="36"/>
              <w:szCs w:val="36"/>
            </w:rPr>
            <w:t>International Journal of Economics and Management Research</w:t>
          </w:r>
        </w:p>
      </w:tc>
      <w:tc>
        <w:tcPr>
          <w:tcW w:w="1843" w:type="dxa"/>
          <w:shd w:val="clear" w:color="auto" w:fill="auto"/>
          <w:vAlign w:val="center"/>
        </w:tcPr>
        <w:p w:rsidR="00CA4AC7" w:rsidRDefault="00CA4AC7" w:rsidP="00CA4AC7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 w:val="0"/>
              <w:bCs/>
              <w:sz w:val="18"/>
              <w:szCs w:val="14"/>
            </w:rPr>
          </w:pPr>
          <w:r>
            <w:rPr>
              <w:b w:val="0"/>
              <w:bCs/>
              <w:sz w:val="18"/>
              <w:szCs w:val="14"/>
            </w:rPr>
            <w:t>E</w:t>
          </w:r>
          <w:r w:rsidRPr="00EB5093">
            <w:rPr>
              <w:b w:val="0"/>
              <w:bCs/>
              <w:sz w:val="18"/>
              <w:szCs w:val="14"/>
            </w:rPr>
            <w:t>-</w:t>
          </w:r>
          <w:r w:rsidRPr="00EB5093">
            <w:rPr>
              <w:rFonts w:eastAsia="DengXian"/>
              <w:b w:val="0"/>
              <w:bCs/>
              <w:sz w:val="18"/>
              <w:szCs w:val="14"/>
            </w:rPr>
            <w:t>ISSN:</w:t>
          </w:r>
          <w:r w:rsidRPr="00EB5093">
            <w:rPr>
              <w:sz w:val="18"/>
              <w:szCs w:val="14"/>
            </w:rPr>
            <w:t xml:space="preserve"> </w:t>
          </w:r>
          <w:r w:rsidRPr="009D48DC">
            <w:rPr>
              <w:rFonts w:eastAsia="DengXian"/>
              <w:b w:val="0"/>
              <w:bCs/>
              <w:sz w:val="18"/>
              <w:szCs w:val="14"/>
            </w:rPr>
            <w:t>2830-2508</w:t>
          </w:r>
        </w:p>
        <w:p w:rsidR="00CA4AC7" w:rsidRPr="00EB5093" w:rsidRDefault="00CA4AC7" w:rsidP="00CA4AC7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 w:val="0"/>
              <w:bCs/>
              <w:sz w:val="18"/>
              <w:szCs w:val="14"/>
            </w:rPr>
          </w:pPr>
          <w:r>
            <w:rPr>
              <w:b w:val="0"/>
              <w:bCs/>
              <w:sz w:val="18"/>
              <w:szCs w:val="14"/>
            </w:rPr>
            <w:t>P</w:t>
          </w:r>
          <w:r w:rsidRPr="00EB5093">
            <w:rPr>
              <w:b w:val="0"/>
              <w:bCs/>
              <w:sz w:val="18"/>
              <w:szCs w:val="14"/>
            </w:rPr>
            <w:t>-</w:t>
          </w:r>
          <w:r w:rsidRPr="00EB5093">
            <w:rPr>
              <w:rFonts w:eastAsia="DengXian"/>
              <w:b w:val="0"/>
              <w:bCs/>
              <w:sz w:val="18"/>
              <w:szCs w:val="14"/>
            </w:rPr>
            <w:t>ISSN:</w:t>
          </w:r>
          <w:r w:rsidRPr="00EB5093">
            <w:rPr>
              <w:sz w:val="18"/>
              <w:szCs w:val="14"/>
            </w:rPr>
            <w:t xml:space="preserve"> </w:t>
          </w:r>
          <w:r w:rsidRPr="009D48DC">
            <w:rPr>
              <w:rFonts w:eastAsia="DengXian"/>
              <w:b w:val="0"/>
              <w:bCs/>
              <w:sz w:val="18"/>
              <w:szCs w:val="14"/>
            </w:rPr>
            <w:t>2830-2664</w:t>
          </w:r>
        </w:p>
      </w:tc>
    </w:tr>
  </w:tbl>
  <w:p w:rsidR="00CA4AC7" w:rsidRPr="00D17B3D" w:rsidRDefault="00CA4AC7" w:rsidP="00CA4AC7">
    <w:pPr>
      <w:pBdr>
        <w:bottom w:val="single" w:sz="4" w:space="0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D7145"/>
    <w:multiLevelType w:val="hybridMultilevel"/>
    <w:tmpl w:val="53E03C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88294C"/>
    <w:multiLevelType w:val="hybridMultilevel"/>
    <w:tmpl w:val="2510629A"/>
    <w:lvl w:ilvl="0" w:tplc="04090019">
      <w:start w:val="1"/>
      <w:numFmt w:val="lowerLetter"/>
      <w:lvlText w:val="%1."/>
      <w:lvlJc w:val="left"/>
      <w:pPr>
        <w:ind w:left="3328" w:hanging="360"/>
      </w:p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" w15:restartNumberingAfterBreak="0">
    <w:nsid w:val="0A92281E"/>
    <w:multiLevelType w:val="multilevel"/>
    <w:tmpl w:val="019630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C7E1D"/>
    <w:multiLevelType w:val="multilevel"/>
    <w:tmpl w:val="2AEAD0E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402B63"/>
    <w:multiLevelType w:val="multilevel"/>
    <w:tmpl w:val="78FA85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617B52"/>
    <w:multiLevelType w:val="multilevel"/>
    <w:tmpl w:val="7B34E2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78296A"/>
    <w:multiLevelType w:val="hybridMultilevel"/>
    <w:tmpl w:val="E800F8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5C710F"/>
    <w:multiLevelType w:val="multilevel"/>
    <w:tmpl w:val="CC5694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0810B3"/>
    <w:multiLevelType w:val="multilevel"/>
    <w:tmpl w:val="11681D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275843"/>
    <w:multiLevelType w:val="hybridMultilevel"/>
    <w:tmpl w:val="AD02BBD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F27F8E"/>
    <w:multiLevelType w:val="multilevel"/>
    <w:tmpl w:val="E8A0F936"/>
    <w:lvl w:ilvl="0">
      <w:start w:val="1"/>
      <w:numFmt w:val="decimal"/>
      <w:lvlText w:val="%1."/>
      <w:lvlJc w:val="left"/>
      <w:pPr>
        <w:ind w:left="29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2160"/>
      </w:pPr>
      <w:rPr>
        <w:rFonts w:hint="default"/>
      </w:rPr>
    </w:lvl>
  </w:abstractNum>
  <w:abstractNum w:abstractNumId="11" w15:restartNumberingAfterBreak="0">
    <w:nsid w:val="2C5D1BB5"/>
    <w:multiLevelType w:val="multilevel"/>
    <w:tmpl w:val="FA1E05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985F07"/>
    <w:multiLevelType w:val="hybridMultilevel"/>
    <w:tmpl w:val="B01CA94E"/>
    <w:lvl w:ilvl="0" w:tplc="04090019">
      <w:start w:val="1"/>
      <w:numFmt w:val="lowerLetter"/>
      <w:lvlText w:val="%1."/>
      <w:lvlJc w:val="left"/>
      <w:pPr>
        <w:ind w:left="3753" w:hanging="360"/>
      </w:pPr>
    </w:lvl>
    <w:lvl w:ilvl="1" w:tplc="04090019" w:tentative="1">
      <w:start w:val="1"/>
      <w:numFmt w:val="lowerLetter"/>
      <w:lvlText w:val="%2."/>
      <w:lvlJc w:val="left"/>
      <w:pPr>
        <w:ind w:left="4473" w:hanging="360"/>
      </w:pPr>
    </w:lvl>
    <w:lvl w:ilvl="2" w:tplc="0409001B" w:tentative="1">
      <w:start w:val="1"/>
      <w:numFmt w:val="lowerRoman"/>
      <w:lvlText w:val="%3."/>
      <w:lvlJc w:val="right"/>
      <w:pPr>
        <w:ind w:left="5193" w:hanging="180"/>
      </w:pPr>
    </w:lvl>
    <w:lvl w:ilvl="3" w:tplc="0409000F" w:tentative="1">
      <w:start w:val="1"/>
      <w:numFmt w:val="decimal"/>
      <w:lvlText w:val="%4."/>
      <w:lvlJc w:val="left"/>
      <w:pPr>
        <w:ind w:left="5913" w:hanging="360"/>
      </w:pPr>
    </w:lvl>
    <w:lvl w:ilvl="4" w:tplc="04090019" w:tentative="1">
      <w:start w:val="1"/>
      <w:numFmt w:val="lowerLetter"/>
      <w:lvlText w:val="%5."/>
      <w:lvlJc w:val="left"/>
      <w:pPr>
        <w:ind w:left="6633" w:hanging="360"/>
      </w:pPr>
    </w:lvl>
    <w:lvl w:ilvl="5" w:tplc="0409001B" w:tentative="1">
      <w:start w:val="1"/>
      <w:numFmt w:val="lowerRoman"/>
      <w:lvlText w:val="%6."/>
      <w:lvlJc w:val="right"/>
      <w:pPr>
        <w:ind w:left="7353" w:hanging="180"/>
      </w:pPr>
    </w:lvl>
    <w:lvl w:ilvl="6" w:tplc="0409000F" w:tentative="1">
      <w:start w:val="1"/>
      <w:numFmt w:val="decimal"/>
      <w:lvlText w:val="%7."/>
      <w:lvlJc w:val="left"/>
      <w:pPr>
        <w:ind w:left="8073" w:hanging="360"/>
      </w:pPr>
    </w:lvl>
    <w:lvl w:ilvl="7" w:tplc="04090019" w:tentative="1">
      <w:start w:val="1"/>
      <w:numFmt w:val="lowerLetter"/>
      <w:lvlText w:val="%8."/>
      <w:lvlJc w:val="left"/>
      <w:pPr>
        <w:ind w:left="8793" w:hanging="360"/>
      </w:pPr>
    </w:lvl>
    <w:lvl w:ilvl="8" w:tplc="0409001B" w:tentative="1">
      <w:start w:val="1"/>
      <w:numFmt w:val="lowerRoman"/>
      <w:lvlText w:val="%9."/>
      <w:lvlJc w:val="right"/>
      <w:pPr>
        <w:ind w:left="9513" w:hanging="180"/>
      </w:pPr>
    </w:lvl>
  </w:abstractNum>
  <w:abstractNum w:abstractNumId="13" w15:restartNumberingAfterBreak="0">
    <w:nsid w:val="3A301322"/>
    <w:multiLevelType w:val="hybridMultilevel"/>
    <w:tmpl w:val="651EC712"/>
    <w:lvl w:ilvl="0" w:tplc="51F0F3E0">
      <w:start w:val="6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14" w15:restartNumberingAfterBreak="0">
    <w:nsid w:val="4F4C6E27"/>
    <w:multiLevelType w:val="hybridMultilevel"/>
    <w:tmpl w:val="679C32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426E7"/>
    <w:multiLevelType w:val="multilevel"/>
    <w:tmpl w:val="D49E6B7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A074F9"/>
    <w:multiLevelType w:val="multilevel"/>
    <w:tmpl w:val="20084E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E14534"/>
    <w:multiLevelType w:val="hybridMultilevel"/>
    <w:tmpl w:val="3E2212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B0F3A"/>
    <w:multiLevelType w:val="multilevel"/>
    <w:tmpl w:val="CC5694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F059BB"/>
    <w:multiLevelType w:val="hybridMultilevel"/>
    <w:tmpl w:val="894218C0"/>
    <w:lvl w:ilvl="0" w:tplc="FB58E814">
      <w:start w:val="1"/>
      <w:numFmt w:val="decimal"/>
      <w:lvlText w:val="%1"/>
      <w:lvlJc w:val="left"/>
      <w:pPr>
        <w:ind w:left="3328" w:hanging="360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20" w15:restartNumberingAfterBreak="0">
    <w:nsid w:val="677A7468"/>
    <w:multiLevelType w:val="hybridMultilevel"/>
    <w:tmpl w:val="037627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24F14"/>
    <w:multiLevelType w:val="hybridMultilevel"/>
    <w:tmpl w:val="02AE36B8"/>
    <w:lvl w:ilvl="0" w:tplc="04090019">
      <w:start w:val="1"/>
      <w:numFmt w:val="lowerLetter"/>
      <w:lvlText w:val="%1."/>
      <w:lvlJc w:val="left"/>
      <w:pPr>
        <w:ind w:left="3328" w:hanging="360"/>
      </w:p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16"/>
  </w:num>
  <w:num w:numId="8">
    <w:abstractNumId w:val="15"/>
  </w:num>
  <w:num w:numId="9">
    <w:abstractNumId w:val="7"/>
  </w:num>
  <w:num w:numId="10">
    <w:abstractNumId w:val="20"/>
  </w:num>
  <w:num w:numId="11">
    <w:abstractNumId w:val="14"/>
  </w:num>
  <w:num w:numId="12">
    <w:abstractNumId w:val="10"/>
  </w:num>
  <w:num w:numId="13">
    <w:abstractNumId w:val="1"/>
  </w:num>
  <w:num w:numId="14">
    <w:abstractNumId w:val="21"/>
  </w:num>
  <w:num w:numId="15">
    <w:abstractNumId w:val="18"/>
  </w:num>
  <w:num w:numId="16">
    <w:abstractNumId w:val="6"/>
  </w:num>
  <w:num w:numId="17">
    <w:abstractNumId w:val="17"/>
  </w:num>
  <w:num w:numId="18">
    <w:abstractNumId w:val="9"/>
  </w:num>
  <w:num w:numId="19">
    <w:abstractNumId w:val="0"/>
  </w:num>
  <w:num w:numId="20">
    <w:abstractNumId w:val="12"/>
  </w:num>
  <w:num w:numId="21">
    <w:abstractNumId w:val="1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C7"/>
    <w:rsid w:val="00000126"/>
    <w:rsid w:val="00177CCB"/>
    <w:rsid w:val="00282756"/>
    <w:rsid w:val="002A6662"/>
    <w:rsid w:val="00402BE4"/>
    <w:rsid w:val="00441EFB"/>
    <w:rsid w:val="007B0CA9"/>
    <w:rsid w:val="007D471B"/>
    <w:rsid w:val="0088373D"/>
    <w:rsid w:val="008D1B35"/>
    <w:rsid w:val="00941650"/>
    <w:rsid w:val="00A25294"/>
    <w:rsid w:val="00A52055"/>
    <w:rsid w:val="00AE6B86"/>
    <w:rsid w:val="00BF476F"/>
    <w:rsid w:val="00C32AB3"/>
    <w:rsid w:val="00CA4AC7"/>
    <w:rsid w:val="00D54705"/>
    <w:rsid w:val="00E35828"/>
    <w:rsid w:val="00EB04F2"/>
    <w:rsid w:val="00FA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C6B2C6-7FAC-47CF-A5CA-27FF1FE5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ppendix_FAITH"/>
    <w:qFormat/>
    <w:rsid w:val="00177CCB"/>
    <w:pPr>
      <w:spacing w:after="0" w:line="260" w:lineRule="atLeast"/>
      <w:jc w:val="both"/>
    </w:pPr>
    <w:rPr>
      <w:rFonts w:ascii="Garamond" w:eastAsia="SimSun" w:hAnsi="Garamond" w:cs="Times New Roman"/>
      <w:b/>
      <w:noProof/>
      <w:color w:val="00000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A4AC7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A4AC7"/>
    <w:rPr>
      <w:rFonts w:ascii="Garamond" w:eastAsia="SimSun" w:hAnsi="Garamond" w:cs="Times New Roman"/>
      <w:b/>
      <w:noProof/>
      <w:color w:val="000000"/>
      <w:szCs w:val="18"/>
      <w:lang w:eastAsia="zh-CN"/>
    </w:rPr>
  </w:style>
  <w:style w:type="paragraph" w:styleId="Header">
    <w:name w:val="header"/>
    <w:basedOn w:val="Normal"/>
    <w:link w:val="HeaderChar"/>
    <w:uiPriority w:val="99"/>
    <w:rsid w:val="00CA4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A4AC7"/>
    <w:rPr>
      <w:rFonts w:ascii="Garamond" w:eastAsia="SimSun" w:hAnsi="Garamond" w:cs="Times New Roman"/>
      <w:b/>
      <w:noProof/>
      <w:color w:val="000000"/>
      <w:szCs w:val="18"/>
      <w:lang w:eastAsia="zh-CN"/>
    </w:rPr>
  </w:style>
  <w:style w:type="paragraph" w:customStyle="1" w:styleId="maintextFAITH">
    <w:name w:val="maintext_FAITH"/>
    <w:link w:val="maintextFAITHChar"/>
    <w:qFormat/>
    <w:rsid w:val="00CA4AC7"/>
    <w:pPr>
      <w:adjustRightInd w:val="0"/>
      <w:snapToGrid w:val="0"/>
      <w:spacing w:after="0" w:line="228" w:lineRule="auto"/>
      <w:ind w:left="2608" w:firstLine="425"/>
      <w:jc w:val="both"/>
    </w:pPr>
    <w:rPr>
      <w:rFonts w:ascii="Garamond" w:eastAsia="Times New Roman" w:hAnsi="Garamond" w:cs="Times New Roman"/>
      <w:snapToGrid w:val="0"/>
      <w:color w:val="000000"/>
      <w:lang w:eastAsia="de-DE" w:bidi="en-US"/>
    </w:rPr>
  </w:style>
  <w:style w:type="paragraph" w:customStyle="1" w:styleId="heading1FAITH">
    <w:name w:val="heading1_FAITH"/>
    <w:qFormat/>
    <w:rsid w:val="00CA4AC7"/>
    <w:pPr>
      <w:adjustRightInd w:val="0"/>
      <w:snapToGrid w:val="0"/>
      <w:spacing w:before="240" w:after="60" w:line="228" w:lineRule="auto"/>
      <w:ind w:left="2608"/>
      <w:outlineLvl w:val="0"/>
    </w:pPr>
    <w:rPr>
      <w:rFonts w:ascii="Garamond" w:eastAsia="Times New Roman" w:hAnsi="Garamond" w:cs="Times New Roman"/>
      <w:b/>
      <w:snapToGrid w:val="0"/>
      <w:color w:val="000000"/>
      <w:sz w:val="24"/>
      <w:lang w:eastAsia="de-DE" w:bidi="en-US"/>
    </w:rPr>
  </w:style>
  <w:style w:type="paragraph" w:customStyle="1" w:styleId="heading2FAITH">
    <w:name w:val="heading2_FAITH"/>
    <w:qFormat/>
    <w:rsid w:val="00CA4AC7"/>
    <w:pPr>
      <w:adjustRightInd w:val="0"/>
      <w:snapToGrid w:val="0"/>
      <w:spacing w:before="240" w:after="60" w:line="228" w:lineRule="auto"/>
      <w:ind w:left="2608"/>
      <w:outlineLvl w:val="1"/>
    </w:pPr>
    <w:rPr>
      <w:rFonts w:ascii="Garamond" w:eastAsia="Times New Roman" w:hAnsi="Garamond" w:cs="Times New Roman"/>
      <w:b/>
      <w:noProof/>
      <w:snapToGrid w:val="0"/>
      <w:color w:val="000000"/>
      <w:lang w:eastAsia="de-DE" w:bidi="en-US"/>
    </w:rPr>
  </w:style>
  <w:style w:type="paragraph" w:customStyle="1" w:styleId="ReferencesFAITH">
    <w:name w:val="References_FAITH"/>
    <w:qFormat/>
    <w:rsid w:val="00CA4AC7"/>
    <w:pPr>
      <w:adjustRightInd w:val="0"/>
      <w:snapToGrid w:val="0"/>
      <w:spacing w:after="0" w:line="228" w:lineRule="auto"/>
      <w:ind w:left="397" w:hanging="397"/>
      <w:jc w:val="both"/>
    </w:pPr>
    <w:rPr>
      <w:rFonts w:ascii="Garamond" w:eastAsia="Times New Roman" w:hAnsi="Garamond" w:cs="Times New Roman"/>
      <w:color w:val="000000"/>
      <w:sz w:val="20"/>
      <w:szCs w:val="20"/>
      <w:lang w:eastAsia="de-DE" w:bidi="en-US"/>
    </w:rPr>
  </w:style>
  <w:style w:type="character" w:styleId="Hyperlink">
    <w:name w:val="Hyperlink"/>
    <w:uiPriority w:val="99"/>
    <w:rsid w:val="00CA4AC7"/>
    <w:rPr>
      <w:color w:val="0000FF"/>
      <w:u w:val="single"/>
    </w:rPr>
  </w:style>
  <w:style w:type="character" w:customStyle="1" w:styleId="maintextFAITHChar">
    <w:name w:val="maintext_FAITH Char"/>
    <w:basedOn w:val="DefaultParagraphFont"/>
    <w:link w:val="maintextFAITH"/>
    <w:rsid w:val="00CA4AC7"/>
    <w:rPr>
      <w:rFonts w:ascii="Garamond" w:eastAsia="Times New Roman" w:hAnsi="Garamond" w:cs="Times New Roman"/>
      <w:snapToGrid w:val="0"/>
      <w:color w:val="000000"/>
      <w:lang w:eastAsia="de-DE" w:bidi="en-US"/>
    </w:rPr>
  </w:style>
  <w:style w:type="paragraph" w:styleId="ListParagraph">
    <w:name w:val="List Paragraph"/>
    <w:basedOn w:val="Normal"/>
    <w:uiPriority w:val="34"/>
    <w:qFormat/>
    <w:rsid w:val="00CA4AC7"/>
    <w:pPr>
      <w:spacing w:after="160" w:line="259" w:lineRule="auto"/>
      <w:ind w:left="720"/>
      <w:contextualSpacing/>
      <w:jc w:val="left"/>
    </w:pPr>
    <w:rPr>
      <w:rFonts w:ascii="Calibri" w:eastAsia="Calibri" w:hAnsi="Calibri"/>
      <w:b w:val="0"/>
      <w:noProof w:val="0"/>
      <w:color w:val="auto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CA4AC7"/>
    <w:rPr>
      <w:i/>
      <w:iCs/>
    </w:rPr>
  </w:style>
  <w:style w:type="table" w:styleId="TableGrid">
    <w:name w:val="Table Grid"/>
    <w:basedOn w:val="TableNormal"/>
    <w:uiPriority w:val="39"/>
    <w:rsid w:val="008D1B35"/>
    <w:pPr>
      <w:spacing w:after="0" w:line="240" w:lineRule="auto"/>
    </w:pPr>
    <w:rPr>
      <w:rFonts w:eastAsiaTheme="minorEastAsia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vi.astriani@ubpkarawang.ac.id" TargetMode="External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jemr.asia/index.php/ijemr" TargetMode="External"/><Relationship Id="rId1" Type="http://schemas.openxmlformats.org/officeDocument/2006/relationships/hyperlink" Target="https://doi.org/10.55606/ijemr.v4i1.307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4289</Words>
  <Characters>24450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3</cp:revision>
  <dcterms:created xsi:type="dcterms:W3CDTF">2025-04-25T03:56:00Z</dcterms:created>
  <dcterms:modified xsi:type="dcterms:W3CDTF">2025-04-28T02:19:00Z</dcterms:modified>
</cp:coreProperties>
</file>